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42" w:rsidRPr="00C14B0B" w:rsidRDefault="00624342" w:rsidP="006F216E">
      <w:pPr>
        <w:widowControl w:val="0"/>
        <w:spacing w:before="120"/>
        <w:rPr>
          <w:rFonts w:ascii="Arial" w:hAnsi="Arial" w:cs="Arial"/>
          <w:b/>
          <w:bCs/>
          <w:color w:val="000000"/>
          <w:sz w:val="28"/>
          <w:lang w:val="en-US"/>
        </w:rPr>
      </w:pPr>
      <w:bookmarkStart w:id="0" w:name="_GoBack"/>
      <w:bookmarkEnd w:id="0"/>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F833EC" w:rsidRDefault="00624342" w:rsidP="006F216E">
      <w:pPr>
        <w:pStyle w:val="2"/>
        <w:keepNext w:val="0"/>
        <w:widowControl w:val="0"/>
        <w:spacing w:before="120"/>
        <w:ind w:firstLine="0"/>
        <w:rPr>
          <w:rFonts w:ascii="Arial" w:hAnsi="Arial" w:cs="Arial"/>
          <w:color w:val="000000"/>
          <w:sz w:val="40"/>
        </w:rPr>
      </w:pPr>
    </w:p>
    <w:p w:rsidR="00624342" w:rsidRPr="00F833EC" w:rsidRDefault="00624342" w:rsidP="006F216E">
      <w:pPr>
        <w:pStyle w:val="2"/>
        <w:keepNext w:val="0"/>
        <w:widowControl w:val="0"/>
        <w:spacing w:before="120"/>
        <w:ind w:firstLine="0"/>
        <w:rPr>
          <w:rFonts w:ascii="Arial" w:hAnsi="Arial" w:cs="Arial"/>
          <w:color w:val="000000"/>
          <w:sz w:val="40"/>
        </w:rPr>
      </w:pPr>
    </w:p>
    <w:p w:rsidR="00624342" w:rsidRPr="00CA46B6" w:rsidRDefault="00624342" w:rsidP="006F216E">
      <w:pPr>
        <w:pStyle w:val="2"/>
        <w:keepNext w:val="0"/>
        <w:widowControl w:val="0"/>
        <w:spacing w:before="120"/>
        <w:ind w:firstLine="0"/>
        <w:rPr>
          <w:rFonts w:ascii="Arial" w:hAnsi="Arial" w:cs="Arial"/>
          <w:color w:val="000000"/>
        </w:rPr>
      </w:pPr>
      <w:r w:rsidRPr="00CA46B6">
        <w:rPr>
          <w:rFonts w:ascii="Arial" w:hAnsi="Arial" w:cs="Arial"/>
          <w:color w:val="000000"/>
          <w:sz w:val="40"/>
        </w:rPr>
        <w:t>МЕТОДОЛОГИЧЕСКИЕ</w:t>
      </w:r>
    </w:p>
    <w:p w:rsidR="00624342" w:rsidRPr="00CA46B6" w:rsidRDefault="00624342" w:rsidP="006F216E">
      <w:pPr>
        <w:pStyle w:val="2"/>
        <w:keepNext w:val="0"/>
        <w:widowControl w:val="0"/>
        <w:spacing w:before="120"/>
        <w:ind w:firstLine="0"/>
        <w:rPr>
          <w:rFonts w:ascii="Arial" w:hAnsi="Arial" w:cs="Arial"/>
          <w:color w:val="000000"/>
        </w:rPr>
      </w:pPr>
      <w:r w:rsidRPr="00CA46B6">
        <w:rPr>
          <w:rFonts w:ascii="Arial" w:hAnsi="Arial" w:cs="Arial"/>
          <w:color w:val="000000"/>
          <w:sz w:val="40"/>
        </w:rPr>
        <w:t>ПОЯСНЕНИЯ</w:t>
      </w:r>
    </w:p>
    <w:p w:rsidR="00624342" w:rsidRPr="00CA46B6" w:rsidRDefault="00624342" w:rsidP="006F216E">
      <w:pPr>
        <w:widowControl w:val="0"/>
        <w:spacing w:before="120"/>
        <w:rPr>
          <w:rFonts w:ascii="Arial" w:hAnsi="Arial" w:cs="Arial"/>
          <w:b/>
          <w:bCs/>
          <w:color w:val="000000"/>
          <w:sz w:val="28"/>
        </w:rPr>
      </w:pPr>
    </w:p>
    <w:p w:rsidR="003D1856" w:rsidRPr="00CA46B6" w:rsidRDefault="00D6240F" w:rsidP="00D6240F">
      <w:pPr>
        <w:pStyle w:val="4"/>
        <w:keepNext w:val="0"/>
        <w:spacing w:before="120"/>
        <w:ind w:firstLine="0"/>
        <w:rPr>
          <w:rFonts w:ascii="Arial" w:hAnsi="Arial" w:cs="Arial"/>
          <w:bCs/>
          <w:szCs w:val="28"/>
        </w:rPr>
      </w:pPr>
      <w:r w:rsidRPr="00CA46B6">
        <w:rPr>
          <w:rFonts w:ascii="Arial" w:hAnsi="Arial" w:cs="Arial"/>
          <w:bCs/>
          <w:szCs w:val="28"/>
        </w:rPr>
        <w:br w:type="page"/>
      </w:r>
      <w:r w:rsidR="003D1856" w:rsidRPr="00CA46B6">
        <w:rPr>
          <w:rFonts w:ascii="Arial" w:hAnsi="Arial" w:cs="Arial"/>
          <w:bCs/>
          <w:szCs w:val="28"/>
        </w:rPr>
        <w:lastRenderedPageBreak/>
        <w:t>Оборот организаций</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Оборот</w:t>
      </w:r>
      <w:r w:rsidRPr="00CA46B6">
        <w:rPr>
          <w:rFonts w:ascii="Arial" w:hAnsi="Arial" w:cs="Arial"/>
          <w:b/>
          <w:bCs/>
          <w:sz w:val="22"/>
          <w:szCs w:val="22"/>
        </w:rPr>
        <w:t xml:space="preserve"> организаций</w:t>
      </w:r>
      <w:r w:rsidRPr="00CA46B6">
        <w:rPr>
          <w:rFonts w:ascii="Arial" w:hAnsi="Arial" w:cs="Arial"/>
          <w:sz w:val="22"/>
          <w:szCs w:val="22"/>
        </w:rPr>
        <w:t xml:space="preserve"> включает стоимость отгруженных товаров собственного производства, выполненных работ и услуг собственными силами, а также выручку от продажи приобретенных на стороне товаров (без налога на добавленную стоимость, акцизов и аналогичных обязательных платежей).</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Объем отгруженных товаров собственного производства представляет собой стоимость товаров, которые произведены юридическим лицом и фактически отгружены в отчетном периоде или отпущены им в порядке продажи, а также прямого обмена на сторону (другим юридическим и физическим лицам), независимо от того, поступили деньги на счет продавца или нет.</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Данные по этому показателю представляют совокупность организаций с соответствующим основным видом деятельности и отражают коммерческую деятельность организаций.</w:t>
      </w:r>
    </w:p>
    <w:p w:rsidR="003D1856" w:rsidRPr="00CA46B6" w:rsidRDefault="003D1856" w:rsidP="005029AC">
      <w:pPr>
        <w:spacing w:before="120"/>
        <w:ind w:firstLine="720"/>
        <w:rPr>
          <w:rFonts w:ascii="Arial" w:hAnsi="Arial" w:cs="Arial"/>
          <w:sz w:val="22"/>
          <w:szCs w:val="22"/>
        </w:rPr>
      </w:pPr>
      <w:r w:rsidRPr="00CA46B6">
        <w:rPr>
          <w:rFonts w:ascii="Arial" w:hAnsi="Arial" w:cs="Arial"/>
          <w:b/>
          <w:bCs/>
          <w:sz w:val="22"/>
          <w:szCs w:val="22"/>
        </w:rPr>
        <w:t>Оборот организаций розничной торговли</w:t>
      </w:r>
      <w:r w:rsidRPr="00CA46B6">
        <w:rPr>
          <w:rFonts w:ascii="Arial" w:hAnsi="Arial" w:cs="Arial"/>
          <w:sz w:val="22"/>
          <w:szCs w:val="22"/>
        </w:rPr>
        <w:t xml:space="preserve"> включает выручку от продажи товаров, приобретенных в целях перепродажи (за минусом НДС, налога с продаж и аналогичных обязательных платежей), стоимость отгруженных (переданных) товаров собственного производства, выручку от других видов деятельности (доход от сдачи в аренду зданий, складских и торговых площадей, транспортных средств и оборудования и т.п.). Не включаются в оборот доходы от продажи собственных основных средств, нематериальных активов, валютных ценностей, ценных бумаг.</w:t>
      </w:r>
    </w:p>
    <w:p w:rsidR="003D1856" w:rsidRPr="00CA46B6" w:rsidRDefault="003D1856" w:rsidP="005029AC">
      <w:pPr>
        <w:spacing w:before="120"/>
        <w:ind w:firstLine="720"/>
        <w:rPr>
          <w:rFonts w:ascii="Arial" w:hAnsi="Arial" w:cs="Arial"/>
          <w:sz w:val="22"/>
          <w:szCs w:val="22"/>
        </w:rPr>
      </w:pPr>
      <w:r w:rsidRPr="00CA46B6">
        <w:rPr>
          <w:rFonts w:ascii="Arial" w:hAnsi="Arial" w:cs="Arial"/>
          <w:b/>
          <w:bCs/>
          <w:sz w:val="22"/>
          <w:szCs w:val="22"/>
        </w:rPr>
        <w:t>Оборот организаций оптовой торговли</w:t>
      </w:r>
      <w:r w:rsidRPr="00CA46B6">
        <w:rPr>
          <w:rFonts w:ascii="Arial" w:hAnsi="Arial" w:cs="Arial"/>
          <w:sz w:val="22"/>
          <w:szCs w:val="22"/>
        </w:rPr>
        <w:t xml:space="preserve"> включает выручку от продажи товаров, приобретенных в целях перепродажи (за минусом НДС, налога с продаж и аналогичных обязательных платежей), выручку от реализации посреднических услуг (сумму вознаграждений комиссионеров (поверенных, агентов) за минусом НДС), стоимость отгруженных (переданных) товаров собственного производства, выручку от других видов деятельности (доход от сдачи в аренду зданий, складских и торговых площадей, транспортных средств и оборудования и т.п.). Не включаются в оборот доходы от продажи собственных основных средств, нематериальных активов, валютных ценностей, ценных бумаг.</w:t>
      </w:r>
    </w:p>
    <w:p w:rsidR="003D1856" w:rsidRPr="00CA46B6" w:rsidRDefault="003D1856" w:rsidP="005029AC">
      <w:pPr>
        <w:keepNext/>
        <w:spacing w:before="120"/>
        <w:outlineLvl w:val="3"/>
        <w:rPr>
          <w:rFonts w:ascii="Arial" w:hAnsi="Arial" w:cs="Arial"/>
          <w:b/>
          <w:bCs/>
          <w:sz w:val="28"/>
          <w:szCs w:val="28"/>
        </w:rPr>
      </w:pPr>
      <w:r w:rsidRPr="00CA46B6">
        <w:rPr>
          <w:rFonts w:ascii="Arial" w:hAnsi="Arial" w:cs="Arial"/>
          <w:b/>
          <w:bCs/>
          <w:sz w:val="28"/>
          <w:szCs w:val="28"/>
        </w:rPr>
        <w:t>Промышленное производство</w:t>
      </w:r>
    </w:p>
    <w:p w:rsidR="003D1856" w:rsidRPr="00CA46B6" w:rsidRDefault="003D1856" w:rsidP="005029AC">
      <w:pPr>
        <w:spacing w:before="120"/>
        <w:ind w:firstLine="720"/>
        <w:rPr>
          <w:rFonts w:ascii="Arial" w:hAnsi="Arial" w:cs="Arial"/>
          <w:iCs/>
          <w:sz w:val="22"/>
          <w:szCs w:val="22"/>
        </w:rPr>
      </w:pPr>
      <w:r w:rsidRPr="00CA46B6">
        <w:rPr>
          <w:rFonts w:ascii="Arial" w:hAnsi="Arial" w:cs="Arial"/>
          <w:b/>
          <w:iCs/>
          <w:sz w:val="22"/>
          <w:szCs w:val="22"/>
        </w:rPr>
        <w:t>Индекс производства</w:t>
      </w:r>
      <w:r w:rsidRPr="00CA46B6">
        <w:rPr>
          <w:rFonts w:ascii="Arial" w:hAnsi="Arial" w:cs="Arial"/>
          <w:iCs/>
          <w:sz w:val="22"/>
          <w:szCs w:val="22"/>
        </w:rPr>
        <w:t xml:space="preserve"> – относительный показатель, характеризующий изменение масштабов производства в сравниваемых периодах. Различают индивидуальные и сводные индексы производства. Индивидуальные индексы отражают изменение выпуска одного продукта и исчисляются как отношение объемов производства данного вида продукта в натурально-вещественном выражении в сравниваемых периодах. Сводный индекс производства характеризует совокупные изменения производства всех видов продукции и отражает изменение создаваемой в процессе производства стоимости в результате изменения только физического объема производимой продукции. Для исчисления сводного индекса производства индивидуальные индексы по конкретным видам продукции поэтапно агрегируются в индексы по группам, подклассам, классам, разделам ОКВЭД2.</w:t>
      </w:r>
    </w:p>
    <w:p w:rsidR="003D1856" w:rsidRPr="00CA46B6" w:rsidRDefault="003D1856" w:rsidP="005029AC">
      <w:pPr>
        <w:spacing w:before="120"/>
        <w:ind w:firstLine="720"/>
        <w:rPr>
          <w:rFonts w:ascii="Arial" w:hAnsi="Arial" w:cs="Arial"/>
          <w:iCs/>
          <w:sz w:val="22"/>
          <w:szCs w:val="22"/>
        </w:rPr>
      </w:pPr>
      <w:r w:rsidRPr="00CA46B6">
        <w:rPr>
          <w:rFonts w:ascii="Arial" w:hAnsi="Arial" w:cs="Arial"/>
          <w:iCs/>
          <w:sz w:val="22"/>
          <w:szCs w:val="22"/>
        </w:rPr>
        <w:t>Индекс промышленного производства – агрегированный индекс производства по видам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b/>
          <w:sz w:val="22"/>
          <w:szCs w:val="22"/>
        </w:rPr>
        <w:t>Объем отгруженных товаров собственного производства, выполненных работ и услуг собственными силами</w:t>
      </w:r>
      <w:r w:rsidRPr="00CA46B6">
        <w:rPr>
          <w:rFonts w:ascii="Arial" w:hAnsi="Arial" w:cs="Arial"/>
          <w:sz w:val="22"/>
          <w:szCs w:val="22"/>
        </w:rPr>
        <w:t xml:space="preserve"> </w:t>
      </w:r>
      <w:r w:rsidRPr="00CA46B6">
        <w:rPr>
          <w:rFonts w:ascii="Arial" w:hAnsi="Arial" w:cs="Arial"/>
          <w:iCs/>
          <w:sz w:val="22"/>
          <w:szCs w:val="22"/>
        </w:rPr>
        <w:t>–</w:t>
      </w:r>
      <w:r w:rsidRPr="00CA46B6">
        <w:rPr>
          <w:rFonts w:ascii="Arial" w:hAnsi="Arial" w:cs="Arial"/>
          <w:sz w:val="22"/>
          <w:szCs w:val="22"/>
        </w:rPr>
        <w:t xml:space="preserve"> стоимость отгруженных или отпущенных в порядке продажи, а также прямого обмена (по договору мены) всех товаров собственного производства, работ и услуг, выполненных (оказанных) собственными силами.</w:t>
      </w:r>
    </w:p>
    <w:p w:rsidR="003D1856" w:rsidRPr="00CA46B6" w:rsidRDefault="003D1856" w:rsidP="005029AC">
      <w:pPr>
        <w:pStyle w:val="30"/>
        <w:rPr>
          <w:rFonts w:ascii="Arial" w:hAnsi="Arial" w:cs="Arial"/>
          <w:sz w:val="22"/>
          <w:szCs w:val="22"/>
        </w:rPr>
      </w:pPr>
      <w:r w:rsidRPr="00CA46B6">
        <w:rPr>
          <w:rFonts w:ascii="Arial" w:hAnsi="Arial" w:cs="Arial"/>
          <w:bCs w:val="0"/>
          <w:sz w:val="22"/>
          <w:szCs w:val="22"/>
        </w:rPr>
        <w:lastRenderedPageBreak/>
        <w:t>Объем отгруженных товаров</w:t>
      </w:r>
      <w:r w:rsidRPr="00CA46B6">
        <w:rPr>
          <w:rFonts w:ascii="Arial" w:hAnsi="Arial" w:cs="Arial"/>
          <w:sz w:val="22"/>
          <w:szCs w:val="22"/>
        </w:rPr>
        <w:t xml:space="preserve"> представляет собой стоимость товаров, которые произведены данным юридическим лицом и фактически отгружены (переданы) в отчетном периоде на сторону (другим юридическим и физическим лицам), включая товары, сданные по акту заказчику на месте, независимо от того, поступили деньги на счет продавца или нет.</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Объем работ и услуг, выполненных собственными силами, представляет собой стоимость работ и услуг, оказанных (выполненных) организацией другим юридическим и физическим лицам.</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Данные приводятся в фактических отпускных ценах без налога на добавленную стоимость, акцизов и аналогичных обязательных платежей.</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Группировки по видам деятельности представляют собой совокупность соответствующих фактических видов деятельности, осуществляемых организациями, независимо от их основного вида деятельности.</w:t>
      </w:r>
    </w:p>
    <w:p w:rsidR="003D1856" w:rsidRPr="00CA46B6" w:rsidRDefault="003D1856" w:rsidP="005029AC">
      <w:pPr>
        <w:pStyle w:val="3"/>
        <w:spacing w:line="240" w:lineRule="auto"/>
        <w:ind w:firstLine="0"/>
        <w:rPr>
          <w:rFonts w:ascii="Arial" w:hAnsi="Arial" w:cs="Arial"/>
          <w:sz w:val="28"/>
          <w:szCs w:val="28"/>
        </w:rPr>
      </w:pPr>
      <w:r w:rsidRPr="00CA46B6">
        <w:rPr>
          <w:rFonts w:ascii="Arial" w:hAnsi="Arial" w:cs="Arial"/>
          <w:sz w:val="28"/>
          <w:szCs w:val="28"/>
        </w:rPr>
        <w:t>Сельское хозяйство</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b/>
          <w:sz w:val="22"/>
          <w:szCs w:val="22"/>
        </w:rPr>
        <w:t xml:space="preserve">Объем производства продукции сельского хозяйства всеми сельхозпроизводителями </w:t>
      </w:r>
      <w:r w:rsidRPr="00CA46B6">
        <w:rPr>
          <w:rFonts w:ascii="Arial" w:hAnsi="Arial" w:cs="Arial"/>
          <w:bCs/>
          <w:sz w:val="22"/>
          <w:szCs w:val="22"/>
        </w:rPr>
        <w:t xml:space="preserve">(сельхозорганизации, </w:t>
      </w:r>
      <w:r w:rsidRPr="00CA46B6">
        <w:rPr>
          <w:rFonts w:ascii="Arial" w:hAnsi="Arial" w:cs="Arial"/>
          <w:sz w:val="22"/>
          <w:szCs w:val="22"/>
        </w:rPr>
        <w:t>крестьянские (фермерские) хозяйства</w:t>
      </w:r>
      <w:r w:rsidRPr="00CA46B6">
        <w:rPr>
          <w:rFonts w:ascii="Arial" w:hAnsi="Arial" w:cs="Arial"/>
          <w:bCs/>
          <w:sz w:val="22"/>
          <w:szCs w:val="22"/>
        </w:rPr>
        <w:t xml:space="preserve">, </w:t>
      </w:r>
      <w:r w:rsidRPr="00CA46B6">
        <w:rPr>
          <w:rFonts w:ascii="Arial" w:hAnsi="Arial" w:cs="Arial"/>
          <w:sz w:val="22"/>
          <w:szCs w:val="22"/>
        </w:rPr>
        <w:t xml:space="preserve">индивидуальные предприниматели, </w:t>
      </w:r>
      <w:r w:rsidRPr="00CA46B6">
        <w:rPr>
          <w:rFonts w:ascii="Arial" w:hAnsi="Arial" w:cs="Arial"/>
          <w:color w:val="000000"/>
          <w:sz w:val="22"/>
          <w:szCs w:val="22"/>
        </w:rPr>
        <w:t>хозяйства населения) формируется как объем производства готовой продукции растениеводства и</w:t>
      </w:r>
      <w:r w:rsidRPr="00CA46B6">
        <w:rPr>
          <w:rFonts w:ascii="Arial" w:hAnsi="Arial" w:cs="Arial"/>
          <w:sz w:val="22"/>
          <w:szCs w:val="22"/>
        </w:rPr>
        <w:t xml:space="preserve"> животноводства и изменение стоимости незавершенного производства продукции растениевод</w:t>
      </w:r>
      <w:r w:rsidRPr="00CA46B6">
        <w:rPr>
          <w:rFonts w:ascii="Arial" w:hAnsi="Arial" w:cs="Arial"/>
          <w:color w:val="000000"/>
          <w:sz w:val="22"/>
          <w:szCs w:val="22"/>
        </w:rPr>
        <w:t xml:space="preserve">ства и животноводства по видам деятельности «Растениеводство», «Животноводство». При этом объем производства скота и птицы определяется на уровне объема выращивания скота. </w:t>
      </w:r>
      <w:r w:rsidRPr="00CA46B6">
        <w:rPr>
          <w:rFonts w:ascii="Arial" w:hAnsi="Arial" w:cs="Arial"/>
          <w:bCs/>
          <w:color w:val="000000"/>
          <w:sz w:val="22"/>
          <w:szCs w:val="22"/>
        </w:rPr>
        <w:t>Выращивание продуктивного скота и птицы складывается из веса полученного за отчетный период приплода, веса прироста молодняка и привеса скота и птицы (взрослых и молодняка) в результате их откорма и нагула за минусом падежа молодняка скота и скота на откорме.</w:t>
      </w:r>
      <w:r w:rsidRPr="00CA46B6">
        <w:rPr>
          <w:rFonts w:ascii="Arial" w:hAnsi="Arial" w:cs="Arial"/>
          <w:color w:val="000000"/>
          <w:sz w:val="22"/>
          <w:szCs w:val="22"/>
        </w:rPr>
        <w:t xml:space="preserve"> Объем продукции выращивания исчисляется в живом весе и рассчитывается по основным видам продуктивного скота (крупный рогатый скот, свиньи, овцы и козы и др.), а также по всем видам птицы.</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Индекс производства продукции сельского хозяйства</w:t>
      </w:r>
      <w:r w:rsidRPr="00CA46B6">
        <w:rPr>
          <w:rFonts w:ascii="Arial" w:hAnsi="Arial" w:cs="Arial"/>
          <w:sz w:val="22"/>
          <w:szCs w:val="22"/>
        </w:rPr>
        <w:t xml:space="preserve"> – относительный показатель, характеризующий изменение объема производства сельскохозяйственной продукции в сравниваемых периодах. Различают индивидуальные и сводные индексы производства. Индивидуальные индексы отражают изменение производства одного продукта и исчисляются как отношение объемов производства данного вида продукции в натуральном выражении в сравниваемых периодах. Сводный индекс производства характеризует совокупные изменения производства всех видов продукции в результате изменения только физического объема производимой продукции.</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Индекс производства продукции сельского хозяйства – агрегированный индекс производства продукции растениеводства и животноводства. Для исчисления индекса производства продукции сельского хозяйства к соответствующему периоду предыдущего года используется показатель ее объема в сопоставимых ценах предыдущего года.</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Данные о </w:t>
      </w:r>
      <w:r w:rsidRPr="00CA46B6">
        <w:rPr>
          <w:rFonts w:ascii="Arial" w:hAnsi="Arial" w:cs="Arial"/>
          <w:b/>
          <w:sz w:val="22"/>
          <w:szCs w:val="22"/>
        </w:rPr>
        <w:t>поголовье сельскохозяйственных животных, производстве и реализации основных сельскохозяйственных продуктов по всем сельхозпроизводителям</w:t>
      </w:r>
      <w:r w:rsidRPr="00CA46B6">
        <w:rPr>
          <w:rFonts w:ascii="Arial" w:hAnsi="Arial" w:cs="Arial"/>
          <w:sz w:val="22"/>
          <w:szCs w:val="22"/>
        </w:rPr>
        <w:t xml:space="preserve"> определяются: </w:t>
      </w:r>
      <w:r w:rsidRPr="00CA46B6">
        <w:rPr>
          <w:rFonts w:ascii="Arial" w:hAnsi="Arial" w:cs="Arial"/>
          <w:b/>
          <w:sz w:val="22"/>
          <w:szCs w:val="22"/>
        </w:rPr>
        <w:t>по сельскохозяйственным организациям</w:t>
      </w:r>
      <w:r w:rsidRPr="00CA46B6">
        <w:rPr>
          <w:rFonts w:ascii="Arial" w:hAnsi="Arial" w:cs="Arial"/>
          <w:sz w:val="22"/>
          <w:szCs w:val="22"/>
        </w:rPr>
        <w:t xml:space="preserve"> – на основании сведений форм федерального статистического наблюдения (по субъектам малого предпринимательства – с применением выборочного метода наблюдения); </w:t>
      </w:r>
      <w:r w:rsidRPr="00CA46B6">
        <w:rPr>
          <w:rFonts w:ascii="Arial" w:hAnsi="Arial" w:cs="Arial"/>
          <w:b/>
          <w:sz w:val="22"/>
          <w:szCs w:val="22"/>
        </w:rPr>
        <w:t>по хозяйствам населения, крестьянским (фермерским) хозяйствам и индивидуальным предпринимателям</w:t>
      </w:r>
      <w:r w:rsidRPr="00CA46B6">
        <w:rPr>
          <w:rFonts w:ascii="Arial" w:hAnsi="Arial" w:cs="Arial"/>
          <w:sz w:val="22"/>
          <w:szCs w:val="22"/>
        </w:rPr>
        <w:t xml:space="preserve"> – по материалам выборочных обследований.</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 xml:space="preserve">Производство скота и птицы на убой </w:t>
      </w:r>
      <w:r w:rsidRPr="00CA46B6">
        <w:rPr>
          <w:rFonts w:ascii="Arial" w:hAnsi="Arial" w:cs="Arial"/>
          <w:sz w:val="22"/>
          <w:szCs w:val="22"/>
        </w:rPr>
        <w:t xml:space="preserve">(в живом весе) включает проданные сельхозпроизводителями скот и птицу для забоя на мясо, а также забитые в сельскохозяйственных организациях, крестьянских (фермерских) хозяйствах, у индивидуальных предпринимателей, в хозяйствах населения. </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lastRenderedPageBreak/>
        <w:t>Производство молока</w:t>
      </w:r>
      <w:r w:rsidRPr="00CA46B6">
        <w:rPr>
          <w:rFonts w:ascii="Arial" w:hAnsi="Arial" w:cs="Arial"/>
          <w:sz w:val="22"/>
          <w:szCs w:val="22"/>
        </w:rPr>
        <w:t xml:space="preserve"> характеризуется фактически надоенным сырым коровьим, козьим, овечьим, кобыльим и буйволиным молоком. Молоко, высосанное молодняком при подсосном его содержании, в продукцию не включается.</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b/>
          <w:color w:val="000000"/>
          <w:sz w:val="22"/>
          <w:szCs w:val="22"/>
        </w:rPr>
        <w:t>Производство яиц</w:t>
      </w:r>
      <w:r w:rsidRPr="00CA46B6">
        <w:rPr>
          <w:rFonts w:ascii="Arial" w:hAnsi="Arial" w:cs="Arial"/>
          <w:color w:val="000000"/>
          <w:sz w:val="22"/>
          <w:szCs w:val="22"/>
        </w:rPr>
        <w:t xml:space="preserve"> включает их сбор от всех видов сельскохозяйственной птицы, в том числе и яйца, пошедшие на воспроизводство птицы (инкубация и др.).</w:t>
      </w:r>
    </w:p>
    <w:p w:rsidR="003D1856" w:rsidRPr="00CA46B6" w:rsidRDefault="003D1856" w:rsidP="00CA46B6">
      <w:pPr>
        <w:pStyle w:val="8"/>
        <w:spacing w:before="240"/>
        <w:ind w:firstLine="0"/>
        <w:rPr>
          <w:rFonts w:ascii="Arial" w:hAnsi="Arial" w:cs="Arial"/>
          <w:sz w:val="28"/>
          <w:szCs w:val="28"/>
        </w:rPr>
      </w:pPr>
      <w:r w:rsidRPr="00CA46B6">
        <w:rPr>
          <w:rFonts w:ascii="Arial" w:hAnsi="Arial" w:cs="Arial"/>
          <w:sz w:val="28"/>
          <w:szCs w:val="28"/>
        </w:rPr>
        <w:t>Строительство</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Объем работ, выполненных по виду деятельности «Строительство»</w:t>
      </w:r>
      <w:r w:rsidRPr="00CA46B6">
        <w:rPr>
          <w:rFonts w:ascii="Arial" w:hAnsi="Arial" w:cs="Arial"/>
          <w:sz w:val="22"/>
          <w:szCs w:val="22"/>
        </w:rPr>
        <w:t xml:space="preserve"> – это строительные работы, выполненные организациями собственными силами на основании договоров и (или) контрактов, заключаемых с заказчиками, а также работы, выполненные хозяйственным способом. В стоимость этих работ включаются работы по строительству новых объектов, капитальному и текущему ремонту, реконструкции жилых и нежилых зданий и инженерных сооружений.</w:t>
      </w:r>
    </w:p>
    <w:p w:rsidR="003D1856" w:rsidRPr="00CA46B6" w:rsidRDefault="003D1856" w:rsidP="005029AC">
      <w:pPr>
        <w:pStyle w:val="20"/>
        <w:widowControl/>
        <w:spacing w:line="240" w:lineRule="auto"/>
        <w:rPr>
          <w:rFonts w:ascii="Arial" w:hAnsi="Arial" w:cs="Arial"/>
          <w:iCs/>
          <w:sz w:val="22"/>
          <w:szCs w:val="22"/>
        </w:rPr>
      </w:pPr>
      <w:r w:rsidRPr="00CA46B6">
        <w:rPr>
          <w:rFonts w:ascii="Arial" w:hAnsi="Arial" w:cs="Arial"/>
          <w:sz w:val="22"/>
          <w:szCs w:val="22"/>
        </w:rPr>
        <w:t xml:space="preserve">Данные приводятся с </w:t>
      </w:r>
      <w:r w:rsidRPr="00CA46B6">
        <w:rPr>
          <w:rFonts w:ascii="Arial" w:hAnsi="Arial" w:cs="Arial"/>
          <w:iCs/>
          <w:sz w:val="22"/>
          <w:szCs w:val="22"/>
        </w:rPr>
        <w:t>учетом объемов, выполненных субъектами малого предпринимательства, и объемов работ, не наблюдаемых прямыми статистическими методами в строительстве.</w:t>
      </w:r>
    </w:p>
    <w:p w:rsidR="003D1856" w:rsidRPr="00CA46B6" w:rsidRDefault="003D1856" w:rsidP="005029AC">
      <w:pPr>
        <w:pStyle w:val="20"/>
        <w:widowControl/>
        <w:spacing w:line="240" w:lineRule="auto"/>
        <w:rPr>
          <w:rFonts w:ascii="Arial" w:hAnsi="Arial" w:cs="Arial"/>
          <w:iCs/>
          <w:color w:val="000000"/>
          <w:sz w:val="22"/>
          <w:szCs w:val="22"/>
        </w:rPr>
      </w:pPr>
      <w:r w:rsidRPr="00CA46B6">
        <w:rPr>
          <w:rFonts w:ascii="Arial" w:hAnsi="Arial" w:cs="Arial"/>
          <w:iCs/>
          <w:color w:val="000000"/>
          <w:sz w:val="22"/>
          <w:szCs w:val="22"/>
        </w:rPr>
        <w:t>Индекс физического объема работ, выполненных по виду деятельности «Строительство», рассчитан в сопоставимых ценах. В качестве сопоставимых цен приняты среднегодовые цены предыдущего года.</w:t>
      </w:r>
    </w:p>
    <w:p w:rsidR="003D1856" w:rsidRPr="00CA46B6" w:rsidRDefault="003D1856" w:rsidP="005029AC">
      <w:pPr>
        <w:spacing w:before="120"/>
        <w:ind w:firstLine="720"/>
        <w:rPr>
          <w:rFonts w:ascii="Arial" w:hAnsi="Arial" w:cs="Arial"/>
          <w:b/>
          <w:sz w:val="22"/>
          <w:szCs w:val="22"/>
        </w:rPr>
      </w:pPr>
      <w:r w:rsidRPr="00CA46B6">
        <w:rPr>
          <w:rFonts w:ascii="Arial" w:hAnsi="Arial" w:cs="Arial"/>
          <w:b/>
          <w:sz w:val="22"/>
          <w:szCs w:val="22"/>
        </w:rPr>
        <w:t>Ввод в действие зданий</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К </w:t>
      </w:r>
      <w:r w:rsidRPr="00CA46B6">
        <w:rPr>
          <w:rFonts w:ascii="Arial" w:hAnsi="Arial" w:cs="Arial"/>
          <w:b/>
          <w:sz w:val="22"/>
          <w:szCs w:val="22"/>
        </w:rPr>
        <w:t>зданиям</w:t>
      </w:r>
      <w:r w:rsidRPr="00CA46B6">
        <w:rPr>
          <w:rFonts w:ascii="Arial" w:hAnsi="Arial" w:cs="Arial"/>
          <w:sz w:val="22"/>
          <w:szCs w:val="22"/>
        </w:rPr>
        <w:t xml:space="preserve"> относится строительная система, состоящая из несущих и ограждающих или совмещенных (несущих и ограждающих) конструкций, образующих надземный замкнутый объем, предназначенный для проживания или пребывания людей в зависимости от функционального назначения и для выполнения различного вида производственных процессов.</w:t>
      </w:r>
    </w:p>
    <w:p w:rsidR="004D2282" w:rsidRPr="00CA46B6" w:rsidRDefault="004D2282" w:rsidP="004D2282">
      <w:pPr>
        <w:spacing w:before="120"/>
        <w:ind w:firstLine="720"/>
        <w:rPr>
          <w:rFonts w:ascii="Arial" w:hAnsi="Arial" w:cs="Arial"/>
          <w:color w:val="000000"/>
          <w:sz w:val="22"/>
          <w:szCs w:val="22"/>
        </w:rPr>
      </w:pPr>
      <w:r w:rsidRPr="00CA46B6">
        <w:rPr>
          <w:rFonts w:ascii="Arial" w:hAnsi="Arial" w:cs="Arial"/>
          <w:b/>
          <w:sz w:val="22"/>
          <w:szCs w:val="22"/>
        </w:rPr>
        <w:t>Общая площадь здания</w:t>
      </w:r>
      <w:r w:rsidRPr="00CA46B6">
        <w:rPr>
          <w:rFonts w:ascii="Arial" w:hAnsi="Arial" w:cs="Arial"/>
          <w:sz w:val="22"/>
          <w:szCs w:val="22"/>
        </w:rPr>
        <w:t xml:space="preserve"> определяется как сумма площадей всех этажей здания (включая технические, мансардные, цокольные и подвальные), измеренных в пределах внутренних поверхностей наружных стен, а также площадей балконов и лоджий. Площади помещений определяются по их размерам, измеряемым между отделанными поверхностями стен и перегородок в уровне пола. </w:t>
      </w:r>
    </w:p>
    <w:p w:rsidR="004D2282" w:rsidRPr="004D2282" w:rsidRDefault="004D2282" w:rsidP="004D2282">
      <w:pPr>
        <w:pStyle w:val="a5"/>
        <w:widowControl/>
        <w:spacing w:line="240" w:lineRule="auto"/>
        <w:rPr>
          <w:rFonts w:ascii="Arial" w:hAnsi="Arial" w:cs="Arial"/>
          <w:sz w:val="22"/>
          <w:szCs w:val="22"/>
        </w:rPr>
      </w:pPr>
      <w:r w:rsidRPr="004D2282">
        <w:rPr>
          <w:rFonts w:ascii="Arial" w:hAnsi="Arial" w:cs="Arial"/>
          <w:sz w:val="22"/>
          <w:szCs w:val="22"/>
        </w:rPr>
        <w:t>Общая площадь жилых зданий определяется в соответствии со СНиП 31-01-2003.</w:t>
      </w:r>
    </w:p>
    <w:p w:rsidR="003D1856" w:rsidRPr="00CA46B6" w:rsidRDefault="003D1856" w:rsidP="005029AC">
      <w:pPr>
        <w:pStyle w:val="a5"/>
        <w:widowControl/>
        <w:spacing w:line="240" w:lineRule="auto"/>
        <w:rPr>
          <w:rFonts w:ascii="Arial" w:hAnsi="Arial" w:cs="Arial"/>
          <w:color w:val="000000"/>
          <w:sz w:val="22"/>
          <w:szCs w:val="22"/>
        </w:rPr>
      </w:pPr>
      <w:r w:rsidRPr="00CA46B6">
        <w:rPr>
          <w:rFonts w:ascii="Arial" w:hAnsi="Arial" w:cs="Arial"/>
          <w:color w:val="000000"/>
          <w:sz w:val="22"/>
          <w:szCs w:val="22"/>
        </w:rPr>
        <w:t xml:space="preserve">Здания </w:t>
      </w:r>
      <w:r w:rsidRPr="00CA46B6">
        <w:rPr>
          <w:rFonts w:ascii="Arial" w:hAnsi="Arial" w:cs="Arial"/>
          <w:b/>
          <w:color w:val="000000"/>
          <w:sz w:val="22"/>
          <w:szCs w:val="22"/>
        </w:rPr>
        <w:t>нежилого назначения</w:t>
      </w:r>
      <w:r w:rsidRPr="00CA46B6">
        <w:rPr>
          <w:rFonts w:ascii="Arial" w:hAnsi="Arial" w:cs="Arial"/>
          <w:color w:val="000000"/>
          <w:sz w:val="22"/>
          <w:szCs w:val="22"/>
        </w:rPr>
        <w:t xml:space="preserve"> распределены исходя из целей их использования.</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b/>
          <w:sz w:val="22"/>
          <w:szCs w:val="22"/>
        </w:rPr>
        <w:t>Ввод в действие производственных мощностей и объектов социально-культурной сферы</w:t>
      </w:r>
      <w:r w:rsidRPr="00CA46B6">
        <w:rPr>
          <w:rFonts w:ascii="Arial" w:hAnsi="Arial" w:cs="Arial"/>
          <w:sz w:val="22"/>
          <w:szCs w:val="22"/>
        </w:rPr>
        <w:t xml:space="preserve"> (публикуется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sz w:val="22"/>
          <w:szCs w:val="22"/>
        </w:rPr>
        <w:t>)</w:t>
      </w:r>
      <w:r w:rsidRPr="00CA46B6">
        <w:rPr>
          <w:rFonts w:ascii="Arial" w:hAnsi="Arial" w:cs="Arial"/>
          <w:sz w:val="22"/>
          <w:szCs w:val="22"/>
        </w:rPr>
        <w:t xml:space="preserve"> – показатели мощности (производительности, вместимости, пропускной способности, площади, протяженности и т.д.), созданной в результате осуществления инвестиций в основной капитал.</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b/>
          <w:sz w:val="22"/>
          <w:szCs w:val="22"/>
        </w:rPr>
        <w:t>Число построенных квартир</w:t>
      </w:r>
      <w:r w:rsidRPr="00CA46B6">
        <w:rPr>
          <w:rFonts w:ascii="Arial" w:hAnsi="Arial" w:cs="Arial"/>
          <w:sz w:val="22"/>
          <w:szCs w:val="22"/>
        </w:rPr>
        <w:t xml:space="preserve"> – количество квартир в законченных строительством жи</w:t>
      </w:r>
      <w:r w:rsidRPr="00CA46B6">
        <w:rPr>
          <w:rFonts w:ascii="Arial" w:hAnsi="Arial" w:cs="Arial"/>
          <w:color w:val="000000"/>
          <w:sz w:val="22"/>
          <w:szCs w:val="22"/>
        </w:rPr>
        <w:t xml:space="preserve">лых домах квартирного, гостиничного типа и общежитиях, квартир в нежилых зданиях, а также </w:t>
      </w:r>
      <w:r w:rsidRPr="00CA46B6">
        <w:rPr>
          <w:rFonts w:ascii="Arial" w:hAnsi="Arial" w:cs="Arial"/>
          <w:sz w:val="22"/>
          <w:szCs w:val="22"/>
        </w:rPr>
        <w:t xml:space="preserve">в </w:t>
      </w:r>
      <w:r w:rsidRPr="00CA46B6">
        <w:rPr>
          <w:rFonts w:ascii="Arial" w:hAnsi="Arial" w:cs="Arial"/>
          <w:color w:val="000000"/>
          <w:sz w:val="22"/>
          <w:szCs w:val="22"/>
        </w:rPr>
        <w:t>построенных населением индивидуальных жилых домах. Индивидуальные жилые дома, построенные населением и предназначенные для проживания одной семьи, отражаются как одна квартира.</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Общая площадь жилых помещений</w:t>
      </w:r>
      <w:r w:rsidRPr="00CA46B6">
        <w:rPr>
          <w:rFonts w:ascii="Arial" w:hAnsi="Arial" w:cs="Arial"/>
          <w:sz w:val="22"/>
          <w:szCs w:val="22"/>
        </w:rPr>
        <w:t xml:space="preserve"> во введенных в эксплуатацию жилых и нежилых зданиях, жилых домах определяется как сумма площадей</w:t>
      </w:r>
      <w:r w:rsidRPr="00CA46B6">
        <w:rPr>
          <w:rFonts w:ascii="Arial" w:hAnsi="Arial" w:cs="Arial"/>
          <w:iCs/>
          <w:sz w:val="22"/>
          <w:szCs w:val="22"/>
        </w:rPr>
        <w:t xml:space="preserve"> </w:t>
      </w:r>
      <w:r w:rsidRPr="00CA46B6">
        <w:rPr>
          <w:rFonts w:ascii="Arial" w:hAnsi="Arial" w:cs="Arial"/>
          <w:sz w:val="22"/>
          <w:szCs w:val="22"/>
        </w:rPr>
        <w:t>всех частей жилых помещений,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площадей лоджий, балконов, веранд, террас, подсчитываемых с соответствующими понижающими коэффициентами, а также жилых и подсобных помещений в построенных населением</w:t>
      </w:r>
      <w:r w:rsidRPr="00CA46B6">
        <w:rPr>
          <w:rFonts w:ascii="Arial" w:hAnsi="Arial" w:cs="Arial"/>
          <w:color w:val="000000"/>
          <w:sz w:val="22"/>
          <w:szCs w:val="22"/>
        </w:rPr>
        <w:t xml:space="preserve"> </w:t>
      </w:r>
      <w:r w:rsidRPr="00CA46B6">
        <w:rPr>
          <w:rFonts w:ascii="Arial" w:hAnsi="Arial" w:cs="Arial"/>
          <w:sz w:val="22"/>
          <w:szCs w:val="22"/>
        </w:rPr>
        <w:t xml:space="preserve">индивидуальных жилых домах. К </w:t>
      </w:r>
      <w:r w:rsidRPr="00CA46B6">
        <w:rPr>
          <w:rFonts w:ascii="Arial" w:hAnsi="Arial" w:cs="Arial"/>
          <w:sz w:val="22"/>
          <w:szCs w:val="22"/>
        </w:rPr>
        <w:lastRenderedPageBreak/>
        <w:t>помещениям вспомогательного использования относятся кухни, передние, холлы, внутриквартирные коридоры, ванные или душевые, туалеты, кладовые или хозяйственные встроенные шкафы. В домах-интернатах для престарелых и инвалидов, ветеранов, специальных домах для одиноких престарелых, детских домах к подсобным помещениям относятся столовые, буфеты, клубы, читальни, спортивные залы, приемные пункты бытового обслуживания и медицинского обслуживания.</w:t>
      </w:r>
    </w:p>
    <w:p w:rsidR="003D1856" w:rsidRPr="00CA46B6" w:rsidRDefault="003D1856" w:rsidP="005029AC">
      <w:pPr>
        <w:pStyle w:val="4"/>
        <w:widowControl w:val="0"/>
        <w:spacing w:before="120"/>
        <w:ind w:firstLine="0"/>
        <w:rPr>
          <w:rFonts w:ascii="Arial" w:hAnsi="Arial" w:cs="Arial"/>
          <w:szCs w:val="28"/>
        </w:rPr>
      </w:pPr>
      <w:r w:rsidRPr="00CA46B6">
        <w:rPr>
          <w:rFonts w:ascii="Arial" w:hAnsi="Arial" w:cs="Arial"/>
          <w:szCs w:val="28"/>
        </w:rPr>
        <w:t xml:space="preserve">Транспорт </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Объем перевозок (погрузка) грузов</w:t>
      </w:r>
      <w:r w:rsidRPr="00CA46B6">
        <w:rPr>
          <w:rFonts w:ascii="Arial" w:hAnsi="Arial" w:cs="Arial"/>
          <w:sz w:val="22"/>
          <w:szCs w:val="22"/>
        </w:rPr>
        <w:t xml:space="preserve"> – количество грузов в тоннах, перевезенных транспортом организаций всех видов экономической деятельности, на автомобильном транспорте – включая оценку индивидуальных предпринимателей – владельцев грузовых автомобилей, осуществляющих коммерческие перевозки грузов.</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Грузооборот транспорта</w:t>
      </w:r>
      <w:r w:rsidRPr="00CA46B6">
        <w:rPr>
          <w:rFonts w:ascii="Arial" w:hAnsi="Arial" w:cs="Arial"/>
          <w:sz w:val="22"/>
          <w:szCs w:val="22"/>
        </w:rPr>
        <w:t xml:space="preserve"> – объем работы транспорта организаций всех видов экономической деятельности по перевозкам грузов, на автомобильном транспорте – включая предпринимателей (физических лиц). Единицей измерения является тонно-километр, т.е. перемещение 1 тонны груза на </w:t>
      </w:r>
      <w:smartTag w:uri="urn:schemas-microsoft-com:office:smarttags" w:element="metricconverter">
        <w:smartTagPr>
          <w:attr w:name="ProductID" w:val="1 километр"/>
        </w:smartTagPr>
        <w:r w:rsidRPr="00CA46B6">
          <w:rPr>
            <w:rFonts w:ascii="Arial" w:hAnsi="Arial" w:cs="Arial"/>
            <w:sz w:val="22"/>
            <w:szCs w:val="22"/>
          </w:rPr>
          <w:t>1 километр</w:t>
        </w:r>
      </w:smartTag>
      <w:r w:rsidRPr="00CA46B6">
        <w:rPr>
          <w:rFonts w:ascii="Arial" w:hAnsi="Arial" w:cs="Arial"/>
          <w:sz w:val="22"/>
          <w:szCs w:val="22"/>
        </w:rPr>
        <w:t>. Исчисляется суммированием произведений массы перевезенных грузов каждой перевозки в тоннах на расстояние перевозки в километрах.</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Пассажирооборот транспорта</w:t>
      </w:r>
      <w:r w:rsidRPr="00CA46B6">
        <w:rPr>
          <w:rFonts w:ascii="Arial" w:hAnsi="Arial" w:cs="Arial"/>
          <w:sz w:val="22"/>
          <w:szCs w:val="22"/>
        </w:rPr>
        <w:t xml:space="preserve"> </w:t>
      </w:r>
      <w:r w:rsidRPr="00CA46B6">
        <w:rPr>
          <w:rFonts w:ascii="Arial" w:hAnsi="Arial" w:cs="Arial"/>
          <w:b/>
          <w:sz w:val="22"/>
          <w:szCs w:val="22"/>
        </w:rPr>
        <w:t>общего пользования</w:t>
      </w:r>
      <w:r w:rsidRPr="00CA46B6">
        <w:rPr>
          <w:rFonts w:ascii="Arial" w:hAnsi="Arial" w:cs="Arial"/>
          <w:sz w:val="22"/>
          <w:szCs w:val="22"/>
        </w:rPr>
        <w:t xml:space="preserve"> – объем работы транспорта по перевозкам пассажиров, включая оценку перевозок пассажиров, пользующихся правом бесплатного проезда. Единицей измерения является пассажиро-километр, т.е. перемещение одного пассажира на </w:t>
      </w:r>
      <w:smartTag w:uri="urn:schemas-microsoft-com:office:smarttags" w:element="metricconverter">
        <w:smartTagPr>
          <w:attr w:name="ProductID" w:val="1 километр"/>
        </w:smartTagPr>
        <w:r w:rsidRPr="00CA46B6">
          <w:rPr>
            <w:rFonts w:ascii="Arial" w:hAnsi="Arial" w:cs="Arial"/>
            <w:sz w:val="22"/>
            <w:szCs w:val="22"/>
          </w:rPr>
          <w:t>1 километр</w:t>
        </w:r>
      </w:smartTag>
      <w:r w:rsidRPr="00CA46B6">
        <w:rPr>
          <w:rFonts w:ascii="Arial" w:hAnsi="Arial" w:cs="Arial"/>
          <w:sz w:val="22"/>
          <w:szCs w:val="22"/>
        </w:rPr>
        <w:t>. Исчисляется суммированием произведений количества пассажиров каждой перевозки на расстояние перевозки в километрах.</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Пассажирооборот транспорта общего пользования исчисляется как сумма пассажирооборота следующих видов транспорта: железнодорожного, автомобильного, воздушного, морского и внутреннего водного. Транспорт общего пользования – транспорт, осуществляющий общедоступное транспортное обслуживание населения.</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color w:val="000000"/>
          <w:sz w:val="22"/>
          <w:szCs w:val="22"/>
        </w:rPr>
        <w:t xml:space="preserve">Пассажирооборот автомобильного транспорта (автобусов) </w:t>
      </w:r>
      <w:r w:rsidRPr="00CA46B6">
        <w:rPr>
          <w:rFonts w:ascii="Arial" w:hAnsi="Arial" w:cs="Arial"/>
          <w:sz w:val="22"/>
          <w:szCs w:val="22"/>
        </w:rPr>
        <w:t>–</w:t>
      </w:r>
      <w:r w:rsidRPr="00CA46B6">
        <w:rPr>
          <w:rFonts w:ascii="Arial" w:hAnsi="Arial" w:cs="Arial"/>
          <w:color w:val="000000"/>
          <w:sz w:val="22"/>
          <w:szCs w:val="22"/>
        </w:rPr>
        <w:t xml:space="preserve"> объем работы автобусов по перевозке пассажиров по маршрутам регулярных перевозок. Данные приводятся без учета работы заказных автобусов (единичные перевозки по маршруту, определяемому заказчиком, юридическим или физическим лицом: перевозки туристско-экскурсионными автобусами, специальные автобусные перевозки (школьные, вахтовые, доставка работников на коммерческой основе на производственные объекты, удаленные от общих линий городского пассажирского транспорта, в отдаленных районах сельской местности и т.п.).</w:t>
      </w:r>
    </w:p>
    <w:p w:rsidR="003D1856" w:rsidRPr="00CA46B6" w:rsidRDefault="003D1856" w:rsidP="005029AC">
      <w:pPr>
        <w:pStyle w:val="20"/>
        <w:widowControl/>
        <w:tabs>
          <w:tab w:val="left" w:pos="6000"/>
        </w:tabs>
        <w:spacing w:line="240" w:lineRule="auto"/>
        <w:rPr>
          <w:rFonts w:ascii="Arial" w:hAnsi="Arial" w:cs="Arial"/>
          <w:sz w:val="22"/>
          <w:szCs w:val="22"/>
        </w:rPr>
      </w:pPr>
      <w:r w:rsidRPr="00CA46B6">
        <w:rPr>
          <w:rFonts w:ascii="Arial" w:hAnsi="Arial" w:cs="Arial"/>
          <w:sz w:val="22"/>
          <w:szCs w:val="22"/>
        </w:rPr>
        <w:t>Перевозки грузов, грузооборот и пассажирооборот транспорта включают данные как по организациям, для которых эта деятельность является основной, так и по организациям других видов деятельности.</w:t>
      </w:r>
    </w:p>
    <w:p w:rsidR="003D1856" w:rsidRPr="00CA46B6" w:rsidRDefault="003D1856" w:rsidP="005029AC">
      <w:pPr>
        <w:pStyle w:val="20"/>
        <w:widowControl/>
        <w:tabs>
          <w:tab w:val="left" w:pos="6000"/>
        </w:tabs>
        <w:spacing w:line="240" w:lineRule="auto"/>
        <w:rPr>
          <w:rFonts w:ascii="Arial" w:hAnsi="Arial" w:cs="Arial"/>
          <w:sz w:val="22"/>
          <w:szCs w:val="22"/>
        </w:rPr>
      </w:pPr>
      <w:r w:rsidRPr="00CA46B6">
        <w:rPr>
          <w:rFonts w:ascii="Arial" w:hAnsi="Arial" w:cs="Arial"/>
          <w:sz w:val="22"/>
          <w:szCs w:val="22"/>
        </w:rPr>
        <w:t>Перевозки грузов, грузооборот и пассажирооборот транспорта формируются по данным сплошного федерального статистического наблюдения за организациями, не относящимися к субъектам малого предпринимательства, выборочного обследования малых предприятий (кроме микропредприятий), которые проводятся с квартальной периодичностью, ежеквартального выборочного обследования индивидуальных предпринимателей – владельцев грузовых автомобилей, осуществляющих коммерческие перевозки грузов, с распространением полученных данных на генеральную совокупность объектов наблюдения.</w:t>
      </w:r>
    </w:p>
    <w:p w:rsidR="003D1856" w:rsidRPr="00CA46B6" w:rsidRDefault="003D1856" w:rsidP="005029AC">
      <w:pPr>
        <w:spacing w:before="120"/>
        <w:rPr>
          <w:rFonts w:ascii="Arial" w:hAnsi="Arial" w:cs="Arial"/>
          <w:b/>
          <w:bCs/>
          <w:sz w:val="28"/>
          <w:szCs w:val="28"/>
        </w:rPr>
      </w:pPr>
      <w:r w:rsidRPr="00CA46B6">
        <w:rPr>
          <w:rFonts w:ascii="Arial" w:hAnsi="Arial" w:cs="Arial"/>
          <w:b/>
          <w:bCs/>
          <w:sz w:val="28"/>
          <w:szCs w:val="28"/>
        </w:rPr>
        <w:t>Розничная торговля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b/>
          <w:bCs/>
          <w:sz w:val="22"/>
          <w:szCs w:val="22"/>
        </w:rPr>
        <w:t>Оборот розничной торговли</w:t>
      </w:r>
      <w:r w:rsidRPr="00CA46B6">
        <w:rPr>
          <w:rFonts w:ascii="Arial" w:hAnsi="Arial" w:cs="Arial"/>
          <w:bCs/>
          <w:sz w:val="22"/>
          <w:szCs w:val="22"/>
        </w:rPr>
        <w:t xml:space="preserve"> </w:t>
      </w:r>
      <w:r w:rsidRPr="00CA46B6">
        <w:rPr>
          <w:rFonts w:ascii="Arial" w:hAnsi="Arial" w:cs="Arial"/>
          <w:sz w:val="22"/>
          <w:szCs w:val="22"/>
        </w:rPr>
        <w:t>–</w:t>
      </w:r>
      <w:r w:rsidRPr="00CA46B6">
        <w:rPr>
          <w:rFonts w:ascii="Arial" w:hAnsi="Arial" w:cs="Arial"/>
          <w:bCs/>
          <w:sz w:val="22"/>
          <w:szCs w:val="22"/>
        </w:rPr>
        <w:t xml:space="preserve"> </w:t>
      </w:r>
      <w:r w:rsidRPr="00CA46B6">
        <w:rPr>
          <w:rFonts w:ascii="Arial" w:hAnsi="Arial" w:cs="Arial"/>
          <w:sz w:val="22"/>
          <w:szCs w:val="22"/>
        </w:rPr>
        <w:t>выручка от продажи товаров населению для личного потребления или использования в домашнем хозяйстве за наличный расчет или оплаченных по кредитным карточкам, расчетным чекам банков, по перечислениям со счетов вкладчиков, по поручению физического лица без открытия счета, посредством платежных карт (электронных денег).</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lastRenderedPageBreak/>
        <w:t>Стоимость товаров, проданных (отпущенных) отдельным категориям населения со скидкой, или полностью оплаченных органами социальной защиты, включается в оборот розничной торговли в полном объеме. В оборот розничной торговли не включается стоимость товаров, проданных (отпущенных) из розничной торговой сети юридическим лицам (в том числе организациям социальной сферы, спецпотребителям и т.п.) и индивидуальным предпринимателям, и оборот общественного питания.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Оборот розничной торговли включает данные как по организациям, для которых эта деятельность является основной, так и по организациям других видов деятельности, осуществляющим продажу товаров населению через собственные торговые заведения, или с оплатой через свою кассу. Оборот розничной торговли также включает стоимость товаров, проданных населению индивидуальными предпринимателями и физическими лицами на розничных рынках и ярмарках.</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Оборот розничной торговли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которое проводится с месячной периодичностью, ежеквартальных выборочных обследований малых предприятий розничной торговли (за исключением микропредприятий) и розничных рынков и ярмарок, а также ежегодных выборочных обследований индивидуальных предпринимателей и микропредприятий с распространением полученных данных на генеральную совокупность объектов наблюдения.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Оборот розничной торговли приводится в фактических продажных ценах, включающих торговую наценку, налог на добавленную стоимость и аналогичные обязательные платежи.</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color w:val="000000"/>
          <w:sz w:val="22"/>
          <w:szCs w:val="22"/>
        </w:rPr>
        <w:t>Динамика оборота розничной торговли определяется путем сопоставления величины оборота в сравниваемых периодах в сопоставимых ценах.</w:t>
      </w:r>
    </w:p>
    <w:p w:rsidR="003D1856" w:rsidRPr="00CA46B6" w:rsidRDefault="003D1856" w:rsidP="005029AC">
      <w:pPr>
        <w:spacing w:before="120"/>
        <w:ind w:firstLine="720"/>
        <w:rPr>
          <w:rFonts w:ascii="Arial" w:hAnsi="Arial" w:cs="Arial"/>
          <w:sz w:val="22"/>
          <w:szCs w:val="22"/>
        </w:rPr>
      </w:pPr>
      <w:r w:rsidRPr="00CA46B6">
        <w:rPr>
          <w:rFonts w:ascii="Arial" w:hAnsi="Arial" w:cs="Arial"/>
          <w:b/>
          <w:bCs/>
          <w:sz w:val="22"/>
          <w:szCs w:val="22"/>
        </w:rPr>
        <w:t>Оборот общественного питания</w:t>
      </w:r>
      <w:r w:rsidRPr="00CA46B6">
        <w:rPr>
          <w:rFonts w:ascii="Arial" w:hAnsi="Arial" w:cs="Arial"/>
          <w:bCs/>
          <w:sz w:val="22"/>
          <w:szCs w:val="22"/>
        </w:rPr>
        <w:t xml:space="preserve"> </w:t>
      </w:r>
      <w:r w:rsidRPr="00CA46B6">
        <w:rPr>
          <w:rFonts w:ascii="Arial" w:hAnsi="Arial" w:cs="Arial"/>
          <w:sz w:val="22"/>
          <w:szCs w:val="22"/>
        </w:rPr>
        <w:t>–</w:t>
      </w:r>
      <w:r w:rsidRPr="00CA46B6">
        <w:rPr>
          <w:rFonts w:ascii="Arial" w:hAnsi="Arial" w:cs="Arial"/>
          <w:bCs/>
          <w:sz w:val="22"/>
          <w:szCs w:val="22"/>
        </w:rPr>
        <w:t xml:space="preserve"> </w:t>
      </w:r>
      <w:r w:rsidRPr="00CA46B6">
        <w:rPr>
          <w:rFonts w:ascii="Arial" w:hAnsi="Arial" w:cs="Arial"/>
          <w:sz w:val="22"/>
          <w:szCs w:val="22"/>
        </w:rPr>
        <w:t>выручка от продажи собственной кулинарной продукции и покупных товаров без кулинарной обработки населению для потребления, главным образом, на месте, а также организациям и индивидуальным предпринимателям для организации питания различных контингентов населения.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В оборот общественного питания включается стоимость кулинарной продукции и покупных товаров, отпущенных: работникам организаций с последующим удержанием из заработной платы; на дом по заказам населения; на рабочие места по заказам организаций и индивидуальных предпринимателей; транспортным организациям в пути следования сухопутного, воздушного, водного транспорта; для обслуживания приемов, банкетов и т.п.; организациями общественного питания организациям социальной сферы (школам, больницам, санаториям, домам престарелых и т.п.) в объеме фактической стоимости питания; по абонементам, талонам и т.п. в объеме фактической стоимости питания; стоимость питания в учебных учреждениях, в том числе предоставляемого для отдельных категорий учащихся на льготной основе за счет средств бюджета, включается в объеме фактической стоимости питания.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Оборот общественного питания включает данные как по организациям, для которых эта деятельность является основной, так и по организациям других видов деятельности, осуществляющим продажу  кулинарной продукции и покупных товаров для потребления через собственные заведения общественного питания.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Оборот общественного питания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которое проводится с месячной периодичностью, ежеквартального выборочного обследования малых предприятий (за исключением микропредприятий), а также ежегодных выборочных обследований индивидуальных предпринимателей и микропредприятий с распространением полученных данных на генеральную совокупность объектов наблюдения.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lastRenderedPageBreak/>
        <w:t>Оборот общественного питания приводится в фактических продажных ценах, включающих наценку общественного питания, налог на добавленную стоимость и аналогичные обязательные платежи.</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Динамика оборота общественного питания определяется путем сопоставления величины оборота в сравниваемых периодах в сопоставимых ценах.</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В соответствии с требованиями системы национальных счетов оборот розничной торговли и оборот общественного питания организаций досчитываются на объемы деятельности, не наблюдаемой прямыми статистическими методами.</w:t>
      </w:r>
    </w:p>
    <w:p w:rsidR="003D1856" w:rsidRPr="00CA46B6" w:rsidRDefault="003D1856" w:rsidP="005029AC">
      <w:pPr>
        <w:pStyle w:val="4"/>
        <w:spacing w:before="120"/>
        <w:ind w:firstLine="0"/>
        <w:rPr>
          <w:rFonts w:ascii="Arial" w:hAnsi="Arial" w:cs="Arial"/>
          <w:bCs/>
          <w:szCs w:val="28"/>
        </w:rPr>
      </w:pPr>
      <w:r w:rsidRPr="00CA46B6">
        <w:rPr>
          <w:rFonts w:ascii="Arial" w:hAnsi="Arial" w:cs="Arial"/>
          <w:bCs/>
          <w:szCs w:val="28"/>
        </w:rPr>
        <w:t>Рынок платных услуг населению</w:t>
      </w:r>
    </w:p>
    <w:p w:rsidR="00172B37" w:rsidRPr="00FB73FD" w:rsidRDefault="00172B37" w:rsidP="00172B37">
      <w:pPr>
        <w:spacing w:before="120"/>
        <w:ind w:firstLine="709"/>
        <w:rPr>
          <w:rFonts w:ascii="Arial" w:hAnsi="Arial" w:cs="Arial"/>
          <w:sz w:val="22"/>
          <w:szCs w:val="22"/>
        </w:rPr>
      </w:pPr>
      <w:r w:rsidRPr="00FB73FD">
        <w:rPr>
          <w:rFonts w:ascii="Arial" w:hAnsi="Arial" w:cs="Arial"/>
          <w:b/>
          <w:sz w:val="22"/>
          <w:szCs w:val="22"/>
        </w:rPr>
        <w:t>Объем платных услуг населению</w:t>
      </w:r>
      <w:r w:rsidRPr="00FB73FD">
        <w:rPr>
          <w:rFonts w:ascii="Arial" w:hAnsi="Arial" w:cs="Arial"/>
          <w:sz w:val="22"/>
          <w:szCs w:val="22"/>
        </w:rPr>
        <w:t xml:space="preserve"> представляет собой денежный эквивалент объема услуг, оказанных резидентами российской экономики (юридическими лицами, индивидуальными предпринимателями, самозанятыми, нотариусами и адвокатами, учредившими адвокатские кабинеты) гражданам Российской Федерации, а также гражданам других государств (нерезидентам), потребляющим те или иные услуги на территории Российской Федерации. Этот показатель формируется в соответствии с методологией формирования официальной статистической информации об объеме платных услуг населению, утвержденной приказом Росстата от </w:t>
      </w:r>
      <w:r>
        <w:rPr>
          <w:rFonts w:ascii="Arial" w:hAnsi="Arial" w:cs="Arial"/>
          <w:sz w:val="22"/>
          <w:szCs w:val="22"/>
        </w:rPr>
        <w:t>20</w:t>
      </w:r>
      <w:r w:rsidRPr="00FB73FD">
        <w:rPr>
          <w:rFonts w:ascii="Arial" w:hAnsi="Arial" w:cs="Arial"/>
          <w:sz w:val="22"/>
          <w:szCs w:val="22"/>
        </w:rPr>
        <w:t>.12.202</w:t>
      </w:r>
      <w:r>
        <w:rPr>
          <w:rFonts w:ascii="Arial" w:hAnsi="Arial" w:cs="Arial"/>
          <w:sz w:val="22"/>
          <w:szCs w:val="22"/>
        </w:rPr>
        <w:t>3</w:t>
      </w:r>
      <w:r w:rsidRPr="00FB73FD">
        <w:rPr>
          <w:rFonts w:ascii="Arial" w:hAnsi="Arial" w:cs="Arial"/>
          <w:sz w:val="22"/>
          <w:szCs w:val="22"/>
        </w:rPr>
        <w:t xml:space="preserve"> № </w:t>
      </w:r>
      <w:r>
        <w:rPr>
          <w:rFonts w:ascii="Arial" w:hAnsi="Arial" w:cs="Arial"/>
          <w:sz w:val="22"/>
          <w:szCs w:val="22"/>
        </w:rPr>
        <w:t>668</w:t>
      </w:r>
      <w:r w:rsidRPr="00FB73FD">
        <w:rPr>
          <w:rFonts w:ascii="Arial" w:hAnsi="Arial" w:cs="Arial"/>
          <w:sz w:val="22"/>
          <w:szCs w:val="22"/>
        </w:rPr>
        <w:t xml:space="preserve">. </w:t>
      </w:r>
    </w:p>
    <w:p w:rsidR="00172B37" w:rsidRDefault="00172B37" w:rsidP="00172B37">
      <w:pPr>
        <w:spacing w:before="120"/>
        <w:ind w:firstLine="709"/>
        <w:rPr>
          <w:rFonts w:ascii="Arial" w:hAnsi="Arial" w:cs="Arial"/>
          <w:sz w:val="22"/>
          <w:szCs w:val="22"/>
        </w:rPr>
      </w:pPr>
      <w:r w:rsidRPr="00FB73FD">
        <w:rPr>
          <w:rFonts w:ascii="Arial" w:hAnsi="Arial" w:cs="Arial"/>
          <w:sz w:val="22"/>
          <w:szCs w:val="22"/>
        </w:rPr>
        <w:t>Информационными источниками формирования показателя "Объем платных услуг населению" являются</w:t>
      </w:r>
      <w:r>
        <w:rPr>
          <w:rFonts w:ascii="Arial" w:hAnsi="Arial" w:cs="Arial"/>
          <w:sz w:val="22"/>
          <w:szCs w:val="22"/>
        </w:rPr>
        <w:t xml:space="preserve"> данные</w:t>
      </w:r>
      <w:r w:rsidRPr="00FB73FD">
        <w:rPr>
          <w:rFonts w:ascii="Arial" w:hAnsi="Arial" w:cs="Arial"/>
          <w:sz w:val="22"/>
          <w:szCs w:val="22"/>
        </w:rPr>
        <w:t xml:space="preserve"> форм федеральных статистических наблюдений Росстата; </w:t>
      </w:r>
      <w:r>
        <w:rPr>
          <w:rFonts w:ascii="Arial" w:hAnsi="Arial" w:cs="Arial"/>
          <w:sz w:val="22"/>
          <w:szCs w:val="22"/>
        </w:rPr>
        <w:t xml:space="preserve">агрегированные данные </w:t>
      </w:r>
      <w:r w:rsidRPr="00FB73FD">
        <w:rPr>
          <w:rFonts w:ascii="Arial" w:hAnsi="Arial" w:cs="Arial"/>
          <w:sz w:val="22"/>
          <w:szCs w:val="22"/>
        </w:rPr>
        <w:t>выборочн</w:t>
      </w:r>
      <w:r>
        <w:rPr>
          <w:rFonts w:ascii="Arial" w:hAnsi="Arial" w:cs="Arial"/>
          <w:sz w:val="22"/>
          <w:szCs w:val="22"/>
        </w:rPr>
        <w:t>ых</w:t>
      </w:r>
      <w:r w:rsidRPr="00FB73FD">
        <w:rPr>
          <w:rFonts w:ascii="Arial" w:hAnsi="Arial" w:cs="Arial"/>
          <w:sz w:val="22"/>
          <w:szCs w:val="22"/>
        </w:rPr>
        <w:t xml:space="preserve"> обследовани</w:t>
      </w:r>
      <w:r>
        <w:rPr>
          <w:rFonts w:ascii="Arial" w:hAnsi="Arial" w:cs="Arial"/>
          <w:sz w:val="22"/>
          <w:szCs w:val="22"/>
        </w:rPr>
        <w:t>й</w:t>
      </w:r>
      <w:r w:rsidRPr="00FB73FD">
        <w:rPr>
          <w:rFonts w:ascii="Arial" w:hAnsi="Arial" w:cs="Arial"/>
          <w:sz w:val="22"/>
          <w:szCs w:val="22"/>
        </w:rPr>
        <w:t xml:space="preserve"> бюджетов домашних хозяйств; </w:t>
      </w:r>
      <w:r>
        <w:rPr>
          <w:rFonts w:ascii="Arial" w:hAnsi="Arial" w:cs="Arial"/>
          <w:sz w:val="22"/>
          <w:szCs w:val="22"/>
        </w:rPr>
        <w:t>административные данные.</w:t>
      </w:r>
    </w:p>
    <w:p w:rsidR="00172B37" w:rsidRPr="00FB73FD" w:rsidRDefault="00172B37" w:rsidP="00172B37">
      <w:pPr>
        <w:spacing w:before="120"/>
        <w:ind w:firstLine="709"/>
        <w:rPr>
          <w:rFonts w:ascii="Arial" w:hAnsi="Arial" w:cs="Arial"/>
          <w:sz w:val="22"/>
          <w:szCs w:val="22"/>
        </w:rPr>
      </w:pPr>
      <w:r w:rsidRPr="00FB73FD">
        <w:rPr>
          <w:rFonts w:ascii="Arial" w:hAnsi="Arial" w:cs="Arial"/>
          <w:sz w:val="22"/>
          <w:szCs w:val="22"/>
        </w:rPr>
        <w:t xml:space="preserve">Данные об объеме платных услуг населению в распределении по видам приведены в соответствии с Общероссийским классификатором продукции по видам экономической деятельности. </w:t>
      </w:r>
    </w:p>
    <w:p w:rsidR="00172B37" w:rsidRPr="00FB73FD" w:rsidRDefault="00172B37" w:rsidP="00172B37">
      <w:pPr>
        <w:spacing w:before="120"/>
        <w:ind w:firstLine="709"/>
        <w:rPr>
          <w:rFonts w:ascii="Arial" w:hAnsi="Arial" w:cs="Arial"/>
          <w:sz w:val="22"/>
          <w:szCs w:val="22"/>
        </w:rPr>
      </w:pPr>
      <w:r w:rsidRPr="00FB73FD">
        <w:rPr>
          <w:rFonts w:ascii="Arial" w:hAnsi="Arial" w:cs="Arial"/>
          <w:sz w:val="22"/>
          <w:szCs w:val="22"/>
        </w:rPr>
        <w:t xml:space="preserve">Динамика объема платных услуг населению определяется путем сопоставления величины объема в сравниваемых периодах в сопоставимых ценах. </w:t>
      </w:r>
    </w:p>
    <w:p w:rsidR="00172B37" w:rsidRPr="00FB73FD" w:rsidRDefault="00172B37" w:rsidP="00172B37">
      <w:pPr>
        <w:spacing w:before="120"/>
        <w:ind w:firstLine="709"/>
        <w:rPr>
          <w:rFonts w:ascii="Arial" w:hAnsi="Arial" w:cs="Arial"/>
          <w:sz w:val="22"/>
          <w:szCs w:val="22"/>
        </w:rPr>
      </w:pPr>
      <w:r w:rsidRPr="00FB73FD">
        <w:rPr>
          <w:rFonts w:ascii="Arial" w:hAnsi="Arial" w:cs="Arial"/>
          <w:sz w:val="22"/>
          <w:szCs w:val="22"/>
        </w:rPr>
        <w:t>В объем транспортных услуг, оказанных населению, услуги железнодорожного транспорта включаются с месячным опозданием.</w:t>
      </w:r>
    </w:p>
    <w:p w:rsidR="003D1856" w:rsidRPr="00CA46B6" w:rsidRDefault="003D1856" w:rsidP="005029AC">
      <w:pPr>
        <w:pStyle w:val="4"/>
        <w:spacing w:before="120"/>
        <w:ind w:firstLine="0"/>
        <w:rPr>
          <w:rFonts w:ascii="Arial" w:hAnsi="Arial" w:cs="Arial"/>
          <w:bCs/>
          <w:szCs w:val="28"/>
        </w:rPr>
      </w:pPr>
      <w:r w:rsidRPr="00CA46B6">
        <w:rPr>
          <w:rFonts w:ascii="Arial" w:hAnsi="Arial" w:cs="Arial"/>
          <w:bCs/>
          <w:szCs w:val="28"/>
        </w:rPr>
        <w:t>Оптовая торговля</w:t>
      </w:r>
    </w:p>
    <w:p w:rsidR="003D1856" w:rsidRPr="00CA46B6" w:rsidRDefault="003D1856" w:rsidP="005029AC">
      <w:pPr>
        <w:spacing w:before="120"/>
        <w:ind w:firstLine="720"/>
        <w:rPr>
          <w:rFonts w:ascii="Arial" w:hAnsi="Arial" w:cs="Arial"/>
          <w:bCs/>
          <w:sz w:val="22"/>
          <w:szCs w:val="22"/>
        </w:rPr>
      </w:pPr>
      <w:r w:rsidRPr="00CA46B6">
        <w:rPr>
          <w:rFonts w:ascii="Arial" w:hAnsi="Arial" w:cs="Arial"/>
          <w:b/>
          <w:sz w:val="22"/>
          <w:szCs w:val="22"/>
        </w:rPr>
        <w:t>Оборот оптовой торговли</w:t>
      </w:r>
      <w:r w:rsidRPr="00CA46B6">
        <w:rPr>
          <w:rFonts w:ascii="Arial" w:hAnsi="Arial" w:cs="Arial"/>
          <w:bCs/>
          <w:sz w:val="22"/>
          <w:szCs w:val="22"/>
        </w:rPr>
        <w:t xml:space="preserve"> </w:t>
      </w:r>
      <w:r w:rsidRPr="00CA46B6">
        <w:rPr>
          <w:rFonts w:ascii="Arial" w:hAnsi="Arial" w:cs="Arial"/>
          <w:sz w:val="22"/>
          <w:szCs w:val="22"/>
        </w:rPr>
        <w:t>–</w:t>
      </w:r>
      <w:r w:rsidRPr="00CA46B6">
        <w:rPr>
          <w:rFonts w:ascii="Arial" w:hAnsi="Arial" w:cs="Arial"/>
          <w:bCs/>
          <w:sz w:val="22"/>
          <w:szCs w:val="22"/>
        </w:rPr>
        <w:t xml:space="preserve"> выручка от реализации товаров, приобретенных ранее на стороне в целях перепродажи юридическим лицам и индивидуальным предпринимателям для профессионального использования (переработки или дальнейшей продажи).</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Оборот оптовой торговли приводится в фактических продажных ценах, включающих торговую наценку, налог на добавленную стоимость, акциз, экспортную пошлину, таможенные сборы и аналогичные обязательные платежи. Сумма вознаграждения комиссионеров (поверенных, агентов) отражается по фактической стоимости, включая НДС.</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Оборот оптовой торговли включает данные по организациям с основным видом экономической деятельности «оптовая торговля, включая торговлю через агентов, кроме торговли автотранспортными средствами и мотоциклами» и по организациям других видов деятельности, осуществляющих оптовую торговлю.</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Оборот оптовой торговли формируется по данным сплошного федерального статистического наблюдения за организациями (предприятиями), не относящимися к субъектам малого предпринимательства, выборочного обследования малых предприятий оптовой торговли (кроме микропредприятий), которые проводятся с месячной периодичностью, а также ежегодных выборочных обследований микропредприятий и индивидуальных предпринимателей с распространением полученных по выборочным обследованиям данных на генеральную совокупность объектов наблюдения.</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lastRenderedPageBreak/>
        <w:t>Кроме того, в соответствии с требованиями системы национальных счетов, оборот оптовой торговли досчитывается на объемы деятельности, не наблюдаемой прямыми статистическими методами.</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Динамика оборота оптовой торговли определяется путем сопоставления величины оборота в сравниваемых периодах в сопоставимых ценах.</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Динамика оборота оптовой торговли формируется с учетом индекса-дефлятора, при расчете которого используется годовая структура оборота оптовой торговли, индексы потребительских цен на отдельные виды товаров, индексы цен производителей промышленных товаров, индексы цен на приобретенные организациями отдельные виды товаров, индекс цен приобретения отдельных видов зерна, а также индексы средних фактических экспортных цен на отдельные топливно-энергетические товары (Методические указания по расчету индекса-дефлятора оборота оптовой торговли организаций оптовой торговли, утвержденные приказом Росстата от 19.11.2019 № 668).</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Объемы оборота оптовой торговли ежеквартально уточняются по результатам выборочного обследования малых предприятий (кроме микропредприятий). Ежегодно (в марте текущего года) по данным годовых форм федерального статистического наблюдения уточняются объемы оборота оптовой торговли за все периоды предыдущего года, его динамика и годовая структура. При уточнении динамики оборота оптовой торговли используется индекс-дефлятор, откорректированный с учетом обновленной годовой структуры оборота оптовой торговли.</w:t>
      </w:r>
    </w:p>
    <w:p w:rsidR="003D1856" w:rsidRPr="00CA46B6" w:rsidRDefault="003D1856" w:rsidP="005029AC">
      <w:pPr>
        <w:spacing w:before="120"/>
        <w:rPr>
          <w:rFonts w:ascii="Arial" w:hAnsi="Arial" w:cs="Arial"/>
          <w:b/>
          <w:bCs/>
          <w:sz w:val="28"/>
          <w:szCs w:val="28"/>
        </w:rPr>
      </w:pPr>
      <w:r w:rsidRPr="00CA46B6">
        <w:rPr>
          <w:rFonts w:ascii="Arial" w:hAnsi="Arial" w:cs="Arial"/>
          <w:b/>
          <w:bCs/>
          <w:sz w:val="28"/>
          <w:szCs w:val="28"/>
        </w:rPr>
        <w:t>Характеристика хозяйствующих субъектов</w:t>
      </w:r>
    </w:p>
    <w:p w:rsidR="003D1856" w:rsidRPr="00CA46B6" w:rsidRDefault="003D1856" w:rsidP="005029AC">
      <w:pPr>
        <w:spacing w:before="120"/>
        <w:rPr>
          <w:rFonts w:ascii="Arial" w:hAnsi="Arial" w:cs="Arial"/>
          <w:bCs/>
          <w:sz w:val="22"/>
          <w:szCs w:val="22"/>
        </w:rPr>
      </w:pPr>
      <w:r w:rsidRPr="00CA46B6">
        <w:rPr>
          <w:rFonts w:ascii="Arial" w:hAnsi="Arial" w:cs="Arial"/>
          <w:bCs/>
          <w:sz w:val="22"/>
          <w:szCs w:val="22"/>
        </w:rPr>
        <w:t xml:space="preserve">(публикуется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bCs/>
          <w:sz w:val="22"/>
          <w:szCs w:val="22"/>
        </w:rPr>
        <w:t>)</w:t>
      </w:r>
    </w:p>
    <w:p w:rsidR="00C5774B" w:rsidRPr="005029AC" w:rsidRDefault="00C5774B" w:rsidP="00C5774B">
      <w:pPr>
        <w:spacing w:before="120"/>
        <w:ind w:firstLine="720"/>
        <w:rPr>
          <w:rFonts w:ascii="Arial" w:hAnsi="Arial" w:cs="Arial"/>
          <w:sz w:val="22"/>
          <w:szCs w:val="22"/>
        </w:rPr>
      </w:pPr>
      <w:r w:rsidRPr="005029AC">
        <w:rPr>
          <w:rFonts w:ascii="Arial" w:hAnsi="Arial" w:cs="Arial"/>
          <w:sz w:val="22"/>
          <w:szCs w:val="22"/>
        </w:rPr>
        <w:t>Статистический учет организаций и индивидуальных предпринимателей осуществляется органами государственной статистики с 1992 г. на основе сведений об их государственной регистрации. В соответствии с постановлением Правительства Российской Федерации от 17.05.2002 № 319 государственную регистрацию юридических лиц и индивидуальных предпринимателей осуществляют территориальные органы ФНС России.</w:t>
      </w:r>
    </w:p>
    <w:p w:rsidR="00C5774B" w:rsidRPr="005029AC" w:rsidRDefault="00C5774B" w:rsidP="00C5774B">
      <w:pPr>
        <w:spacing w:before="120"/>
        <w:ind w:firstLine="720"/>
        <w:rPr>
          <w:rFonts w:ascii="Arial" w:hAnsi="Arial" w:cs="Arial"/>
          <w:bCs/>
          <w:sz w:val="22"/>
          <w:szCs w:val="22"/>
        </w:rPr>
      </w:pPr>
      <w:r w:rsidRPr="005029AC">
        <w:rPr>
          <w:rFonts w:ascii="Arial" w:hAnsi="Arial" w:cs="Arial"/>
          <w:bCs/>
          <w:sz w:val="22"/>
          <w:szCs w:val="22"/>
        </w:rPr>
        <w:t>Группировка хозяйствующих субъектов осуществляется по коду вида деятельности Общероссийского классификатора видов экономической деятельности (ОКВЭД), заявленному организациями и индивидуальными предпринимателями при государственной регистрации в качестве основного вида деятельности.</w:t>
      </w:r>
    </w:p>
    <w:p w:rsidR="003D1856" w:rsidRPr="00CA46B6" w:rsidRDefault="003D1856" w:rsidP="005029AC">
      <w:pPr>
        <w:pStyle w:val="6"/>
        <w:keepNext w:val="0"/>
        <w:spacing w:before="120"/>
        <w:rPr>
          <w:rFonts w:ascii="Arial" w:hAnsi="Arial" w:cs="Arial"/>
          <w:szCs w:val="28"/>
        </w:rPr>
      </w:pPr>
      <w:r w:rsidRPr="00CA46B6">
        <w:rPr>
          <w:rFonts w:ascii="Arial" w:hAnsi="Arial" w:cs="Arial"/>
          <w:szCs w:val="28"/>
        </w:rPr>
        <w:t>Демография организаций</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Коэффициент рождаемости организаций – отношение количества зарегистрированных за отчетный период организаций к среднему количеству организаций, учтенных в Статрегистре Росстата, выраженное в промилле.</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Коэффициент официальной ликвидации организаций – отношение количества официально ликвидированных за отчетный период организаций к среднему количеству организаций, учтенных в Статрегистре Росстата, выраженное в промилле.</w:t>
      </w:r>
    </w:p>
    <w:p w:rsidR="003D1856" w:rsidRPr="00CA46B6" w:rsidRDefault="003D1856" w:rsidP="005029AC">
      <w:pPr>
        <w:pStyle w:val="6"/>
        <w:keepNext w:val="0"/>
        <w:spacing w:before="120"/>
        <w:jc w:val="left"/>
        <w:rPr>
          <w:rFonts w:ascii="Arial" w:hAnsi="Arial" w:cs="Arial"/>
          <w:szCs w:val="28"/>
        </w:rPr>
      </w:pPr>
      <w:r w:rsidRPr="00CA46B6">
        <w:rPr>
          <w:rFonts w:ascii="Arial" w:hAnsi="Arial" w:cs="Arial"/>
          <w:szCs w:val="28"/>
        </w:rPr>
        <w:t>Малые предприятия</w:t>
      </w:r>
    </w:p>
    <w:p w:rsidR="003D1856" w:rsidRPr="00CA46B6" w:rsidRDefault="003D1856" w:rsidP="005029AC">
      <w:pPr>
        <w:spacing w:before="120"/>
        <w:rPr>
          <w:rFonts w:ascii="Arial" w:hAnsi="Arial" w:cs="Arial"/>
          <w:sz w:val="22"/>
          <w:szCs w:val="22"/>
        </w:rPr>
      </w:pPr>
      <w:r w:rsidRPr="00CA46B6">
        <w:rPr>
          <w:rFonts w:ascii="Arial" w:hAnsi="Arial" w:cs="Arial"/>
          <w:sz w:val="22"/>
          <w:szCs w:val="22"/>
        </w:rPr>
        <w:t xml:space="preserve">(публикуется в </w:t>
      </w:r>
      <w:r w:rsidR="004442B1" w:rsidRPr="00CA46B6">
        <w:rPr>
          <w:rFonts w:ascii="Arial" w:hAnsi="Arial" w:cs="Arial"/>
          <w:sz w:val="22"/>
          <w:szCs w:val="22"/>
        </w:rPr>
        <w:t>докладах за январь-февраль, январь-май, январь-август, январь-ноябрь</w:t>
      </w:r>
      <w:r w:rsidRPr="00CA46B6">
        <w:rPr>
          <w:rFonts w:ascii="Arial" w:hAnsi="Arial" w:cs="Arial"/>
          <w:sz w:val="22"/>
          <w:szCs w:val="22"/>
        </w:rPr>
        <w:t>)</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Условия отнесения к малым предприятиям определены статьей 4 Федерального закона от 24 июля 2007 г. № 209-ФЗ «О развитии малого и среднего предпринимательства в Российской Федерации».</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Порядок осуществления выборочных обследований малых предприятий установлен постановлением Правительства Российской Федерации от 16 февраля </w:t>
      </w:r>
      <w:r w:rsidRPr="00CA46B6">
        <w:rPr>
          <w:rFonts w:ascii="Arial" w:hAnsi="Arial" w:cs="Arial"/>
          <w:sz w:val="22"/>
          <w:szCs w:val="22"/>
        </w:rPr>
        <w:lastRenderedPageBreak/>
        <w:t>2008 г. № 79 «О порядке проведения выборочных статистических наблюдений за деятельностью субъектов малого и среднего предпринимательства».</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В разделе приводятся данные по малым предприятиям – юридическим лицам с численностью работников до 100 человек включительно и с предельным значением дохода, полученного от осуществления предпринимательской деятельности за предшествующий календарный год,</w:t>
      </w:r>
      <w:r w:rsidRPr="00CA46B6">
        <w:rPr>
          <w:rFonts w:ascii="Arial" w:hAnsi="Arial" w:cs="Arial"/>
          <w:spacing w:val="-6"/>
          <w:sz w:val="22"/>
          <w:szCs w:val="22"/>
        </w:rPr>
        <w:t xml:space="preserve"> </w:t>
      </w:r>
      <w:r w:rsidRPr="00CA46B6">
        <w:rPr>
          <w:rFonts w:ascii="Arial" w:hAnsi="Arial" w:cs="Arial"/>
          <w:sz w:val="22"/>
          <w:szCs w:val="22"/>
        </w:rPr>
        <w:t>до 800 млн рублей.</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Данные сформированы по виду экономической деятельности (ОКВЭД2) регистрации предприятия, учтенному в едином реестре субъектов малого и среднего предпринимательства.</w:t>
      </w:r>
    </w:p>
    <w:p w:rsidR="003D1856" w:rsidRPr="00CA46B6" w:rsidRDefault="003D1856" w:rsidP="005029AC">
      <w:pPr>
        <w:pStyle w:val="3"/>
        <w:spacing w:line="240" w:lineRule="auto"/>
        <w:ind w:firstLine="0"/>
        <w:rPr>
          <w:rFonts w:ascii="Arial" w:hAnsi="Arial" w:cs="Arial"/>
          <w:sz w:val="28"/>
          <w:szCs w:val="28"/>
        </w:rPr>
      </w:pPr>
      <w:r w:rsidRPr="00CA46B6">
        <w:rPr>
          <w:rFonts w:ascii="Arial" w:hAnsi="Arial" w:cs="Arial"/>
          <w:sz w:val="28"/>
          <w:szCs w:val="28"/>
        </w:rPr>
        <w:t>Инвестиции</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Финансовые вложения</w:t>
      </w:r>
      <w:r w:rsidRPr="00CA46B6">
        <w:rPr>
          <w:rFonts w:ascii="Arial" w:hAnsi="Arial" w:cs="Arial"/>
          <w:sz w:val="22"/>
          <w:szCs w:val="22"/>
        </w:rPr>
        <w:t xml:space="preserve"> </w:t>
      </w:r>
      <w:r w:rsidRPr="00CA46B6">
        <w:rPr>
          <w:rFonts w:ascii="Arial" w:hAnsi="Arial" w:cs="Arial"/>
          <w:b/>
          <w:sz w:val="22"/>
          <w:szCs w:val="22"/>
        </w:rPr>
        <w:t>организаций</w:t>
      </w:r>
      <w:r w:rsidRPr="00CA46B6">
        <w:rPr>
          <w:rFonts w:ascii="Arial" w:hAnsi="Arial" w:cs="Arial"/>
          <w:sz w:val="22"/>
          <w:szCs w:val="22"/>
        </w:rPr>
        <w:t xml:space="preserve"> (публикуется в</w:t>
      </w:r>
      <w:r w:rsidR="0093189E" w:rsidRPr="00CA46B6">
        <w:rPr>
          <w:rFonts w:ascii="Arial" w:hAnsi="Arial" w:cs="Arial"/>
          <w:sz w:val="22"/>
          <w:szCs w:val="22"/>
        </w:rPr>
        <w:t xml:space="preserve"> </w:t>
      </w:r>
      <w:r w:rsidR="003116CC" w:rsidRPr="00CA46B6">
        <w:rPr>
          <w:rFonts w:ascii="Arial" w:hAnsi="Arial" w:cs="Arial"/>
          <w:sz w:val="22"/>
          <w:szCs w:val="22"/>
        </w:rPr>
        <w:t>докладах за январь, январь-апрель, январь-июль, январь-октябрь</w:t>
      </w:r>
      <w:r w:rsidRPr="00CA46B6">
        <w:rPr>
          <w:rFonts w:ascii="Arial" w:hAnsi="Arial" w:cs="Arial"/>
          <w:sz w:val="22"/>
          <w:szCs w:val="22"/>
        </w:rPr>
        <w:t>) – инвестиции организации в государственные и муниципальные ценные бумаги, ценные бумаги других организаций, в том числе долговые ценные бумаги, в которых дата и стоимость погашения определена (облигации, векселя); вклады в уставные (складочные) капиталы других организаций (в том числе дочерних и зависимых хозяйственных обществ); предоставленные другим организациям займы, депозитные вклады в кредитных организациях, дебиторская задолженность, приобретенная на основании уступки права требования, вклады организации-товарища по договору простого товарищества и пр.</w:t>
      </w:r>
    </w:p>
    <w:p w:rsidR="003D1856" w:rsidRPr="00CA46B6" w:rsidRDefault="003D1856" w:rsidP="005029AC">
      <w:pPr>
        <w:spacing w:before="120"/>
        <w:ind w:firstLine="720"/>
        <w:rPr>
          <w:rFonts w:ascii="Arial" w:hAnsi="Arial" w:cs="Arial"/>
          <w:sz w:val="22"/>
          <w:szCs w:val="22"/>
        </w:rPr>
      </w:pPr>
      <w:r w:rsidRPr="00CA46B6">
        <w:rPr>
          <w:rFonts w:ascii="Arial" w:hAnsi="Arial" w:cs="Arial"/>
          <w:b/>
          <w:bCs/>
          <w:color w:val="000000"/>
          <w:sz w:val="22"/>
          <w:szCs w:val="22"/>
        </w:rPr>
        <w:t xml:space="preserve">Накопленные финансовые вложения </w:t>
      </w:r>
      <w:r w:rsidRPr="00CA46B6">
        <w:rPr>
          <w:rFonts w:ascii="Arial" w:hAnsi="Arial" w:cs="Arial"/>
          <w:sz w:val="22"/>
          <w:szCs w:val="22"/>
        </w:rPr>
        <w:t>–</w:t>
      </w:r>
      <w:r w:rsidRPr="00CA46B6">
        <w:rPr>
          <w:rFonts w:ascii="Arial" w:hAnsi="Arial" w:cs="Arial"/>
          <w:b/>
          <w:bCs/>
          <w:color w:val="000000"/>
          <w:sz w:val="22"/>
          <w:szCs w:val="22"/>
        </w:rPr>
        <w:t xml:space="preserve"> </w:t>
      </w:r>
      <w:r w:rsidRPr="00CA46B6">
        <w:rPr>
          <w:rFonts w:ascii="Arial" w:hAnsi="Arial" w:cs="Arial"/>
          <w:sz w:val="22"/>
          <w:szCs w:val="22"/>
        </w:rPr>
        <w:t xml:space="preserve">объем накопленных финансовых вложений, произведенных юридическим лицом с начала их вложения с учетом их изъятия и выбытия в отчетном периоде. </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Финансовые вложения, осуществленные организацией, в зависимости от срока погашения займов и кредитов подразделяются на долгосрочные и краткосрочные.</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 xml:space="preserve">Долгосрочные финансовые вложения </w:t>
      </w:r>
      <w:r w:rsidRPr="00CA46B6">
        <w:rPr>
          <w:rFonts w:ascii="Arial" w:hAnsi="Arial" w:cs="Arial"/>
          <w:sz w:val="22"/>
          <w:szCs w:val="22"/>
        </w:rPr>
        <w:t>–</w:t>
      </w:r>
      <w:r w:rsidRPr="00CA46B6">
        <w:rPr>
          <w:rFonts w:ascii="Arial" w:hAnsi="Arial" w:cs="Arial"/>
          <w:b/>
          <w:sz w:val="22"/>
          <w:szCs w:val="22"/>
        </w:rPr>
        <w:t xml:space="preserve"> </w:t>
      </w:r>
      <w:r w:rsidRPr="00CA46B6">
        <w:rPr>
          <w:rFonts w:ascii="Arial" w:hAnsi="Arial" w:cs="Arial"/>
          <w:sz w:val="22"/>
          <w:szCs w:val="22"/>
        </w:rPr>
        <w:t>вложения, осуществленные на срок более одного года с намерением получения доходов (дивидендов):</w:t>
      </w:r>
      <w:r w:rsidRPr="00CA46B6">
        <w:rPr>
          <w:rFonts w:ascii="Arial" w:hAnsi="Arial" w:cs="Arial"/>
          <w:color w:val="000000"/>
          <w:sz w:val="22"/>
          <w:szCs w:val="22"/>
        </w:rPr>
        <w:t xml:space="preserve"> инвестиции организаций в доходные активы (ценные бумаги) других организаций, уставные (складочные) капиталы других организаций, созданных на территории Российской Федерации или за ее пределами, государственные ценные бумаги (облигации и другие долговые обязательства) и т.п., а также предоставленные организацией другим организациям займы.</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 xml:space="preserve">Краткосрочные финансовые вложения </w:t>
      </w:r>
      <w:r w:rsidRPr="00CA46B6">
        <w:rPr>
          <w:rFonts w:ascii="Arial" w:hAnsi="Arial" w:cs="Arial"/>
          <w:sz w:val="22"/>
          <w:szCs w:val="22"/>
        </w:rPr>
        <w:t>–</w:t>
      </w:r>
      <w:r w:rsidRPr="00CA46B6">
        <w:rPr>
          <w:rFonts w:ascii="Arial" w:hAnsi="Arial" w:cs="Arial"/>
          <w:b/>
          <w:sz w:val="22"/>
          <w:szCs w:val="22"/>
        </w:rPr>
        <w:t xml:space="preserve"> </w:t>
      </w:r>
      <w:r w:rsidRPr="00CA46B6">
        <w:rPr>
          <w:rFonts w:ascii="Arial" w:hAnsi="Arial" w:cs="Arial"/>
          <w:sz w:val="22"/>
          <w:szCs w:val="22"/>
        </w:rPr>
        <w:t>вложения на срок не более одного года, осуществленные с намерением получения доходов (дивидендов):</w:t>
      </w:r>
      <w:r w:rsidRPr="00CA46B6">
        <w:rPr>
          <w:rFonts w:ascii="Arial" w:hAnsi="Arial" w:cs="Arial"/>
          <w:color w:val="000000"/>
          <w:sz w:val="22"/>
          <w:szCs w:val="22"/>
        </w:rPr>
        <w:t xml:space="preserve"> в дочерние и зависимые организации, инвестиции организации в ценные бумаги других организаций, государственные ценные бумаги и т.п., а также </w:t>
      </w:r>
      <w:r w:rsidRPr="00CA46B6">
        <w:rPr>
          <w:rFonts w:ascii="Arial" w:hAnsi="Arial" w:cs="Arial"/>
          <w:sz w:val="22"/>
          <w:szCs w:val="22"/>
        </w:rPr>
        <w:t>предоставленные другим организациям займы на срок не более одного года и пр.</w:t>
      </w:r>
    </w:p>
    <w:p w:rsidR="003D1856" w:rsidRPr="00E16C57" w:rsidRDefault="003D1856" w:rsidP="005029AC">
      <w:pPr>
        <w:spacing w:before="120"/>
        <w:ind w:firstLine="709"/>
        <w:rPr>
          <w:rFonts w:ascii="Arial" w:hAnsi="Arial" w:cs="Arial"/>
          <w:sz w:val="22"/>
          <w:szCs w:val="22"/>
        </w:rPr>
      </w:pPr>
      <w:r w:rsidRPr="00E16C57">
        <w:rPr>
          <w:rFonts w:ascii="Arial" w:hAnsi="Arial" w:cs="Arial"/>
          <w:b/>
          <w:sz w:val="22"/>
          <w:szCs w:val="22"/>
        </w:rPr>
        <w:t xml:space="preserve">Инвестиции в нефинансовые активы </w:t>
      </w:r>
      <w:r w:rsidRPr="00E16C57">
        <w:rPr>
          <w:rFonts w:ascii="Arial" w:hAnsi="Arial" w:cs="Arial"/>
          <w:sz w:val="22"/>
          <w:szCs w:val="22"/>
        </w:rPr>
        <w:t xml:space="preserve">(публикуется в </w:t>
      </w:r>
      <w:r w:rsidR="003116CC" w:rsidRPr="00E16C57">
        <w:rPr>
          <w:rFonts w:ascii="Arial" w:hAnsi="Arial" w:cs="Arial"/>
          <w:sz w:val="22"/>
          <w:szCs w:val="22"/>
        </w:rPr>
        <w:t>докладах за январь, январь-апрель, январь-июль, январь-октябрь</w:t>
      </w:r>
      <w:r w:rsidR="0093189E" w:rsidRPr="00E16C57">
        <w:rPr>
          <w:rFonts w:ascii="Arial" w:hAnsi="Arial" w:cs="Arial"/>
          <w:sz w:val="22"/>
          <w:szCs w:val="22"/>
        </w:rPr>
        <w:t>)</w:t>
      </w:r>
      <w:r w:rsidRPr="00E16C57">
        <w:rPr>
          <w:rFonts w:ascii="Arial" w:hAnsi="Arial" w:cs="Arial"/>
          <w:sz w:val="22"/>
          <w:szCs w:val="22"/>
        </w:rPr>
        <w:t>.</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основной капитал</w:t>
      </w:r>
      <w:r w:rsidRPr="00CA46B6">
        <w:rPr>
          <w:rFonts w:ascii="Arial" w:hAnsi="Arial" w:cs="Arial"/>
          <w:sz w:val="22"/>
          <w:szCs w:val="22"/>
        </w:rPr>
        <w:t xml:space="preserve"> – совокупность затрат, направленных на строительство, реконструкцию (включая расширение и модернизацию) объектов, которые приводят к увеличению их первоначальной стоимости, приобретение машин, оборудования, транспортных средств, производственного и хозяйственного инвентаря, бухгалтерский учет которых осуществляется в порядке, установленном для учета вложений во внеоборотные активы, инвестиции в объекты интеллектуальной собственности; культивируемые биологические ресурсы.</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Данные об инвестициях в основной капитал приведены с учетом инвестиционной деятельности субъектов малого предпринимательства и объемов инвестиций, не наблюдаемых прямыми статистическими методами.</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lastRenderedPageBreak/>
        <w:t>В состав инвестиций в основной капитал включены затраты, осуществленные за счет денежных средств граждан и юридических лиц, привлеченных организациями-застройщиками для долевого строительства.</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Затраты на приобретение объектов незавершенного строительства и основных средств на вторичном рынке в объеме инвестиций в основной капитал не учитываются.</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Распределение инвестиций в основной капитал по видам экономической деятельности осуществляется </w:t>
      </w:r>
      <w:r w:rsidRPr="00CA46B6">
        <w:rPr>
          <w:rFonts w:ascii="Arial" w:hAnsi="Arial" w:cs="Arial"/>
          <w:bCs/>
          <w:sz w:val="22"/>
          <w:szCs w:val="22"/>
        </w:rPr>
        <w:t>в</w:t>
      </w:r>
      <w:r w:rsidRPr="00CA46B6">
        <w:rPr>
          <w:rFonts w:ascii="Arial" w:hAnsi="Arial" w:cs="Arial"/>
          <w:sz w:val="22"/>
          <w:szCs w:val="22"/>
        </w:rPr>
        <w:t xml:space="preserve"> соответствии с классификатором ОКВЭД2, исходя из той сферы деятельности, в рамках которой будут функционировать создаваемые или приобретаемые основные фонды.</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 xml:space="preserve">Инвестиции в основной капитал учитываются без налога на добавленную стоимость. </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Индекс физического объема инвестиций в основной капитал рассчитан в сопоставимых ценах. В качестве сопоставимых цен приняты среднегодовые цены предыдущего года.</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Инвестиции в основной капитал разрабатываются в соответствии с Общероссийским классификатором основных фондов (ОКОФ) ОК 013-2014 (СНС 2008), утвержденным приказом Росстандарта России от 12.12.2014 № 2018-ст.</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w:t>
      </w:r>
      <w:r w:rsidRPr="00CA46B6">
        <w:rPr>
          <w:rFonts w:ascii="Arial" w:hAnsi="Arial" w:cs="Arial"/>
          <w:sz w:val="22"/>
          <w:szCs w:val="22"/>
        </w:rPr>
        <w:t xml:space="preserve"> </w:t>
      </w:r>
      <w:r w:rsidRPr="00CA46B6">
        <w:rPr>
          <w:rFonts w:ascii="Arial" w:hAnsi="Arial" w:cs="Arial"/>
          <w:b/>
          <w:sz w:val="22"/>
          <w:szCs w:val="22"/>
        </w:rPr>
        <w:t>здания (кроме жилых) и сооружения</w:t>
      </w:r>
      <w:r w:rsidRPr="00CA46B6">
        <w:rPr>
          <w:rFonts w:ascii="Arial" w:hAnsi="Arial" w:cs="Arial"/>
          <w:sz w:val="22"/>
          <w:szCs w:val="22"/>
        </w:rPr>
        <w:t xml:space="preserve"> – расходы на строительство зданий и сооружений, которые складываются из выполненных строительных работ и приходящихся на них прочих капитальных затрат. При этом в затраты на строительство зданий включается стоимость оборудования и коммуникаций внутри здания, необходимых для его эксплуатации.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жилые здания и помещения</w:t>
      </w:r>
      <w:r w:rsidRPr="00CA46B6">
        <w:rPr>
          <w:rFonts w:ascii="Arial" w:hAnsi="Arial" w:cs="Arial"/>
          <w:sz w:val="22"/>
          <w:szCs w:val="22"/>
        </w:rPr>
        <w:t xml:space="preserve"> – затраты на строительство жилых помещений, зданий или частей зданий, используемых полностью или главным образом как места проживания: входящих в жилищный фонд (общего назначения, общежития, спальные корпуса школ - интернатов, детских домов, дома для престарелых и инвалидов) и не входящих в жилищный фонд (дома щитовые, садовые дома, помещения контейнерного типа жилые, вагоны-дома передвижные, помещения, приспособленные под жилье (вагоны и кузова железнодорожных вагонов, суда и другие подобные объекты)).</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на улучшение земель</w:t>
      </w:r>
      <w:r w:rsidRPr="00CA46B6">
        <w:rPr>
          <w:rFonts w:ascii="Arial" w:hAnsi="Arial" w:cs="Arial"/>
          <w:sz w:val="22"/>
          <w:szCs w:val="22"/>
        </w:rPr>
        <w:t xml:space="preserve"> – затраты на мелиоративные работы; затраты на проведение культуртехнических работ на землях, не требующих осушения; террасирование крутых склонов; капитальные вложения на коренное улучшение земель; расчистку земельных участков, рекультивацию земли, изменение рельефа (планировку территории), расходы, связанные с предотвращением затопления, расходы, связанные  с передачей прав собственности на землю.</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машины, оборудование, транспортные средства</w:t>
      </w:r>
      <w:r w:rsidRPr="00CA46B6">
        <w:rPr>
          <w:rFonts w:ascii="Arial" w:hAnsi="Arial" w:cs="Arial"/>
          <w:sz w:val="22"/>
          <w:szCs w:val="22"/>
        </w:rPr>
        <w:t xml:space="preserve"> – затраты на приобретение машин, транспортных средств, оборудования, производственного и хозяйственного инвентаря, а также затраты на монтаж оборудования на месте его постоянной эксплуатации, проверку и испытание качества монтажа.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объекты интеллектуальной собственности включают</w:t>
      </w:r>
      <w:r w:rsidRPr="00CA46B6">
        <w:rPr>
          <w:rFonts w:ascii="Arial" w:hAnsi="Arial" w:cs="Arial"/>
          <w:sz w:val="22"/>
          <w:szCs w:val="22"/>
        </w:rPr>
        <w:t>: затраты на научно-исследовательские, опытно-конструкторские и технологические работы, расходы на разведку недр и оценку запасов полезных ископаемых, затраты на создание и приобретение компьютерного программного обеспечения и баз данных, затраты на создание и приобретение произведений развлекательного жанра, литературы и искусства.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непроизведенные нефинансовые активы</w:t>
      </w:r>
      <w:r w:rsidRPr="00CA46B6">
        <w:rPr>
          <w:rFonts w:ascii="Arial" w:hAnsi="Arial" w:cs="Arial"/>
          <w:sz w:val="22"/>
          <w:szCs w:val="22"/>
        </w:rPr>
        <w:t xml:space="preserve"> – затраты на приобретение юридическими лицами в собственность земельных участков, объектов природопользования, контрактов, договоров аренды, лицензий, деловой репутации («гудвилла») и деловых связей (маркетинговых активов). Затраты на приобретение земельных участков и объектов природопользования отражаются на основе </w:t>
      </w:r>
      <w:r w:rsidRPr="00CA46B6">
        <w:rPr>
          <w:rFonts w:ascii="Arial" w:hAnsi="Arial" w:cs="Arial"/>
          <w:sz w:val="22"/>
          <w:szCs w:val="22"/>
        </w:rPr>
        <w:lastRenderedPageBreak/>
        <w:t>документов, выданных государственными органами по земельным ресурсам и землеустройству согласно оплаченным или принятым к оплате счетам.</w:t>
      </w:r>
    </w:p>
    <w:p w:rsidR="003D1856" w:rsidRPr="00CA46B6" w:rsidRDefault="003D1856" w:rsidP="005029AC">
      <w:pPr>
        <w:pStyle w:val="5"/>
        <w:spacing w:before="120"/>
        <w:rPr>
          <w:rFonts w:ascii="Arial" w:hAnsi="Arial" w:cs="Arial"/>
          <w:b/>
          <w:szCs w:val="28"/>
        </w:rPr>
      </w:pPr>
      <w:r w:rsidRPr="00CA46B6">
        <w:rPr>
          <w:rFonts w:ascii="Arial" w:hAnsi="Arial" w:cs="Arial"/>
          <w:b/>
          <w:szCs w:val="28"/>
        </w:rPr>
        <w:t>Цены</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sz w:val="22"/>
          <w:szCs w:val="22"/>
        </w:rPr>
        <w:t>Индекс потребительских цен и тарифов на товары и услуги (ИПЦ)</w:t>
      </w:r>
      <w:r w:rsidRPr="00CA46B6">
        <w:rPr>
          <w:rFonts w:ascii="Arial" w:hAnsi="Arial" w:cs="Arial"/>
          <w:sz w:val="22"/>
          <w:szCs w:val="22"/>
        </w:rPr>
        <w:t xml:space="preserve"> характеризует из</w:t>
      </w:r>
      <w:r w:rsidRPr="00CA46B6">
        <w:rPr>
          <w:rFonts w:ascii="Arial" w:hAnsi="Arial" w:cs="Arial"/>
          <w:color w:val="000000"/>
          <w:sz w:val="22"/>
          <w:szCs w:val="22"/>
        </w:rPr>
        <w:t>менение во времени общего уровня цен и тарифов на товары и услуги, приобретаемые населением для непроизводственного потребления. ИПЦ измеряет отношение стоимости фиксированного перечня товаров и услуг в ценах текущего периода к его стоимости в ценах предыдущего (базисного) периода.</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bCs/>
          <w:color w:val="000000"/>
          <w:sz w:val="22"/>
          <w:szCs w:val="22"/>
        </w:rPr>
        <w:t xml:space="preserve">Базовый индекс потребительских цен (БИПЦ) </w:t>
      </w:r>
      <w:r w:rsidRPr="00CA46B6">
        <w:rPr>
          <w:rFonts w:ascii="Arial" w:hAnsi="Arial" w:cs="Arial"/>
          <w:color w:val="000000"/>
          <w:sz w:val="22"/>
          <w:szCs w:val="22"/>
        </w:rPr>
        <w:t>исключает краткосрочные неравномерные изменения цен на отдельные товары и услуги, подверженные влиянию факторов, которые носят административный, а также сезонный характер.</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bCs/>
          <w:color w:val="000000"/>
          <w:sz w:val="22"/>
          <w:szCs w:val="22"/>
        </w:rPr>
        <w:t>Стоимость фиксированного набора потребительских товаров и услуг</w:t>
      </w:r>
      <w:r w:rsidRPr="00CA46B6">
        <w:rPr>
          <w:rFonts w:ascii="Arial" w:hAnsi="Arial" w:cs="Arial"/>
          <w:color w:val="000000"/>
          <w:sz w:val="22"/>
          <w:szCs w:val="22"/>
        </w:rPr>
        <w:t xml:space="preserve"> для межрегиональных сопоставлений покупательной способности населения </w:t>
      </w:r>
      <w:r w:rsidRPr="00CA46B6">
        <w:rPr>
          <w:rFonts w:ascii="Arial" w:hAnsi="Arial" w:cs="Arial"/>
          <w:sz w:val="22"/>
          <w:szCs w:val="22"/>
        </w:rPr>
        <w:t xml:space="preserve">в целом по Российской Федерации и по субъектам Российской Федерации исчисляется на основе единого условно потребляемого количества товаров и услуг, а также фактических средних потребительских цен по России и субъектам. </w:t>
      </w:r>
      <w:r w:rsidRPr="00CA46B6">
        <w:rPr>
          <w:rFonts w:ascii="Arial" w:hAnsi="Arial" w:cs="Arial"/>
          <w:color w:val="000000"/>
          <w:sz w:val="22"/>
          <w:szCs w:val="22"/>
        </w:rPr>
        <w:t>В состав набора включены 83 наименования товаров и услуг, в том числе 30 видов продовольственных товаров, 41 вид непродовольственных товаров и 12 видов услуг.</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Индексы цен на первичном и вторичном рынках жилья</w:t>
      </w:r>
      <w:r w:rsidRPr="00CA46B6">
        <w:rPr>
          <w:rFonts w:ascii="Arial" w:hAnsi="Arial" w:cs="Arial"/>
          <w:b/>
          <w:sz w:val="22"/>
          <w:szCs w:val="22"/>
        </w:rPr>
        <w:t xml:space="preserve"> </w:t>
      </w:r>
      <w:r w:rsidRPr="00CA46B6">
        <w:rPr>
          <w:rFonts w:ascii="Arial" w:hAnsi="Arial" w:cs="Arial"/>
          <w:sz w:val="22"/>
          <w:szCs w:val="22"/>
        </w:rPr>
        <w:t xml:space="preserve">(публикуется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sz w:val="22"/>
          <w:szCs w:val="22"/>
        </w:rPr>
        <w:t>)</w:t>
      </w:r>
      <w:r w:rsidRPr="00CA46B6">
        <w:rPr>
          <w:rFonts w:ascii="Arial" w:hAnsi="Arial" w:cs="Arial"/>
          <w:sz w:val="22"/>
          <w:szCs w:val="22"/>
        </w:rPr>
        <w:t xml:space="preserve"> рассчитываются на основе зарегистрированных цен на вновь построенные квартиры и на квартиры функционирующего жилищного фонда, находящиеся в собственности, если они являются объектами совершения рыночных сделок.</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color w:val="000000"/>
          <w:sz w:val="22"/>
          <w:szCs w:val="22"/>
        </w:rPr>
        <w:t>Наблюдение ведется по выборочному кругу организаций, осуществляющих операции с недвижимостью в территориальных центрах и отдельных городах субъектов Российской Федерации. При регистрации цен на квартиры учитываются их количественные и качественные ха</w:t>
      </w:r>
      <w:r w:rsidR="00BE0A44" w:rsidRPr="00CA46B6">
        <w:rPr>
          <w:rFonts w:ascii="Arial" w:hAnsi="Arial" w:cs="Arial"/>
          <w:color w:val="000000"/>
          <w:sz w:val="22"/>
          <w:szCs w:val="22"/>
        </w:rPr>
        <w:t>рактеристики. Средние цены по региону</w:t>
      </w:r>
      <w:r w:rsidRPr="00CA46B6">
        <w:rPr>
          <w:rFonts w:ascii="Arial" w:hAnsi="Arial" w:cs="Arial"/>
          <w:color w:val="000000"/>
          <w:sz w:val="22"/>
          <w:szCs w:val="22"/>
        </w:rPr>
        <w:t xml:space="preserve"> рассчитываются из средних цен, сложившихся в </w:t>
      </w:r>
      <w:r w:rsidR="00BE0A44" w:rsidRPr="00CA46B6">
        <w:rPr>
          <w:rFonts w:ascii="Arial" w:hAnsi="Arial" w:cs="Arial"/>
          <w:color w:val="000000"/>
          <w:sz w:val="22"/>
          <w:szCs w:val="22"/>
        </w:rPr>
        <w:t>городах, участвующих в наблюдении</w:t>
      </w:r>
      <w:r w:rsidRPr="00CA46B6">
        <w:rPr>
          <w:rFonts w:ascii="Arial" w:hAnsi="Arial" w:cs="Arial"/>
          <w:color w:val="000000"/>
          <w:sz w:val="22"/>
          <w:szCs w:val="22"/>
        </w:rPr>
        <w:t>. В качестве весов используются данные о количестве проданной общей площади квартир отдельно на первичном и вторичном рынках жилья, накопленном за предыдущий год.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Индекс цен производителей промышленных товаров </w:t>
      </w:r>
      <w:r w:rsidRPr="00CA46B6">
        <w:rPr>
          <w:rFonts w:ascii="Arial" w:hAnsi="Arial" w:cs="Arial"/>
          <w:sz w:val="22"/>
          <w:szCs w:val="22"/>
        </w:rPr>
        <w:t>рассчитывается на основании регистрации цен на товары (услуги)-представители в базовых организациях. Цены производителей представляют собой фактически сложившиеся на момент регистрации цены указанных организаций на произведенные и отгруженные товары (оказанные услуги), предназначенные для реализации на внутреннем рынке (без косвенных товарных налогов – налога на добавленную стоимость, акциза и т.п.).</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Рассчитанные по товарам (услугам)-представителям индексы цен производителей последовательно агрегируются в индексы цен соответствующих видов, групп, классов, разделов экономической деятельности. В качестве весов используются данные об объеме отгрузки в стоимостном выражении за базисный период.</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Индекс цен производителей промышленных товаров – сводный показатель, агрегированный по видам деятельности «</w:t>
      </w:r>
      <w:r w:rsidRPr="00CA46B6">
        <w:rPr>
          <w:rFonts w:ascii="Arial" w:hAnsi="Arial" w:cs="Arial"/>
          <w:iCs/>
          <w:sz w:val="22"/>
          <w:szCs w:val="22"/>
        </w:rPr>
        <w:t>Добыча полезных ископаемых», «Обрабатывающие производства», «</w:t>
      </w:r>
      <w:r w:rsidRPr="00CA46B6">
        <w:rPr>
          <w:rFonts w:ascii="Arial" w:hAnsi="Arial" w:cs="Arial"/>
          <w:color w:val="000000"/>
          <w:sz w:val="22"/>
          <w:szCs w:val="22"/>
        </w:rPr>
        <w:t>Обеспечение электрической энергией, газом и паром; кондиционирование воздуха», «</w:t>
      </w:r>
      <w:r w:rsidRPr="00CA46B6">
        <w:rPr>
          <w:rFonts w:ascii="Arial" w:hAnsi="Arial" w:cs="Arial"/>
          <w:iCs/>
          <w:sz w:val="22"/>
          <w:szCs w:val="22"/>
        </w:rPr>
        <w:t>Водоснабжение; водоотведение, организация сбора и утилизации отходов, деятельность по ликвидации загрязнений».</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производителей сельскохозяйственной продукции</w:t>
      </w:r>
      <w:r w:rsidRPr="00CA46B6">
        <w:rPr>
          <w:rFonts w:ascii="Arial" w:hAnsi="Arial" w:cs="Arial"/>
          <w:sz w:val="22"/>
          <w:szCs w:val="22"/>
        </w:rPr>
        <w:t xml:space="preserve"> исчисляется на основании регистрации в отобранных для наблюдения сельскохозяйственных организациях цен на основные виды товаров-представителей, реализуемых заготовительным, перерабатывающим организациям, на рынке, через собственную торговую сеть, населению непосредственно с транспортных средств, на ярмарках, </w:t>
      </w:r>
      <w:r w:rsidRPr="00CA46B6">
        <w:rPr>
          <w:rFonts w:ascii="Arial" w:hAnsi="Arial" w:cs="Arial"/>
          <w:sz w:val="22"/>
          <w:szCs w:val="22"/>
        </w:rPr>
        <w:lastRenderedPageBreak/>
        <w:t>биржах, аукционах, организациям, коммерческим структурам и т.п. Цены производителей сельскохозяйственной продукции приводятся с учетом надбавок и скидок за качество реализованной продукции без расходов на транспортировку, экспедирование, погрузку и разгрузку продукции, а также без налога на добавленную стоимость.</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Сводный индекс цен на продукцию (затраты, услуги) инвестиционного назначения </w:t>
      </w:r>
      <w:r w:rsidRPr="00CA46B6">
        <w:rPr>
          <w:rFonts w:ascii="Arial" w:hAnsi="Arial" w:cs="Arial"/>
          <w:sz w:val="22"/>
          <w:szCs w:val="22"/>
        </w:rPr>
        <w:t>рассчитывается как агрегированный показатель из индексов цен производителей на строительную продукцию, приобретения машин и оборудования инвестиционного назначения и на прочую продукцию (затраты, услуги) инвестиционного назначения, взвешенных по доле этих элементов в общем объеме инвестиций в основной капитал.</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производителей на строительную продукцию</w:t>
      </w:r>
      <w:r w:rsidRPr="00CA46B6">
        <w:rPr>
          <w:rFonts w:ascii="Arial" w:hAnsi="Arial" w:cs="Arial"/>
          <w:sz w:val="22"/>
          <w:szCs w:val="22"/>
        </w:rPr>
        <w:t xml:space="preserve"> формируется из индексов цен на строительно-монтажные работы и на прочие затраты, включенные в сводный сметный расчет строительства, взвешенных по доле этих элементов в общем объеме инвестиций в жилища, здания и сооружения. Расчет индекса цен на строительно-монтажные работы проводится на основе данных формы отчетности о ценах на материалы, детали и конструкции, приобретенные базовыми подрядными организациями, а также на базе технологических моделей, разработанных по видам экономической деятельности с учетом территориальных особенностей строительства. </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приобретения машин и оборудования инвестиционного назначения</w:t>
      </w:r>
      <w:r w:rsidRPr="00CA46B6">
        <w:rPr>
          <w:rFonts w:ascii="Arial" w:hAnsi="Arial" w:cs="Arial"/>
          <w:sz w:val="22"/>
          <w:szCs w:val="22"/>
        </w:rPr>
        <w:t xml:space="preserve"> исчисляется на основе данных об изменении цен производителей этого оборудования, транспортных расходов, ставки налога на добавленную стоимость и других расходов.</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на прочую продукцию (затраты, услуги) инвестиционного назначения</w:t>
      </w:r>
      <w:r w:rsidRPr="00CA46B6">
        <w:rPr>
          <w:rFonts w:ascii="Arial" w:hAnsi="Arial" w:cs="Arial"/>
          <w:sz w:val="22"/>
          <w:szCs w:val="22"/>
        </w:rPr>
        <w:t xml:space="preserve"> определяется из индексов цен на основные составляющие этих работ (проектно-изыскательские работы, затраты на разведочное бурение, на формирование рабочего, продуктивного и племенного стада и другие затраты).</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тарифов на грузовые перевозки</w:t>
      </w:r>
      <w:r w:rsidRPr="00CA46B6">
        <w:rPr>
          <w:rFonts w:ascii="Arial" w:hAnsi="Arial" w:cs="Arial"/>
          <w:sz w:val="22"/>
          <w:szCs w:val="22"/>
        </w:rPr>
        <w:t xml:space="preserve"> характеризует изменение фактически действующих тарифов на грузовые перевозки за отчетный период без учета изменения за этот период структуры перевезенных грузов по разнообразным признакам: по виду и размеру отправки груза, скорости доставки, расстоянию перевозки, территории перевозки, типу подвижного состава, степени использования его грузоподъемности и др.</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Сводный индекс тарифов на грузовые перевозки всеми видами транспорта рассчитывается исходя из индексов тарифов на перевозку грузов отдельными видами транспорта, взвешенных на объемы доходов от перевозки грузов соответствующим видом транспорта за базисный период. По каждому виду транспорта регистрируются тарифы на услуги-представители. За услугу-представитель принимается перевозка одной тонны массового груза определенным видом транспорта на фиксированное расстояние. Регистрация тарифов осуществляется в выборочной совокупности транспортных организаций.</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тарифов на услуги связи для юридических лиц</w:t>
      </w:r>
      <w:r w:rsidRPr="00CA46B6">
        <w:rPr>
          <w:rFonts w:ascii="Arial" w:hAnsi="Arial" w:cs="Arial"/>
          <w:sz w:val="22"/>
          <w:szCs w:val="22"/>
        </w:rPr>
        <w:t xml:space="preserve"> (публикуется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sz w:val="22"/>
          <w:szCs w:val="22"/>
        </w:rPr>
        <w:t>)</w:t>
      </w:r>
      <w:r w:rsidRPr="00CA46B6">
        <w:rPr>
          <w:rFonts w:ascii="Arial" w:hAnsi="Arial" w:cs="Arial"/>
          <w:sz w:val="22"/>
          <w:szCs w:val="22"/>
        </w:rPr>
        <w:t xml:space="preserve"> характеризует общее изменение тарифов на услуги связи, оказываемые различным организациям (бюджетным и коммерческим).</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Расчет индексов тарифов на услуги связи для юридических лиц основан на ежеквартальном наблюдении за тарифами на 16 видов услуг-представителей в столицах республик, центрах краев, областей, автономной области, автономных округов и городах федерального значения Российской Федерации.</w:t>
      </w:r>
    </w:p>
    <w:p w:rsidR="003D1856" w:rsidRPr="00CA46B6" w:rsidRDefault="003D1856" w:rsidP="005029AC">
      <w:pPr>
        <w:pStyle w:val="4"/>
        <w:spacing w:before="120"/>
        <w:ind w:firstLine="0"/>
        <w:rPr>
          <w:rFonts w:ascii="Arial" w:hAnsi="Arial" w:cs="Arial"/>
          <w:bCs/>
          <w:szCs w:val="28"/>
        </w:rPr>
      </w:pPr>
      <w:r w:rsidRPr="00CA46B6">
        <w:rPr>
          <w:rFonts w:ascii="Arial" w:hAnsi="Arial" w:cs="Arial"/>
          <w:bCs/>
          <w:szCs w:val="28"/>
        </w:rPr>
        <w:lastRenderedPageBreak/>
        <w:t>Финансы</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Бюджет</w:t>
      </w:r>
      <w:r w:rsidRPr="00CA46B6">
        <w:rPr>
          <w:rFonts w:ascii="Arial" w:hAnsi="Arial" w:cs="Arial"/>
          <w:sz w:val="22"/>
          <w:szCs w:val="22"/>
        </w:rPr>
        <w:t xml:space="preserve">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b/>
          <w:bCs/>
          <w:sz w:val="22"/>
          <w:szCs w:val="22"/>
        </w:rPr>
        <w:t>Бюджетная система Российской Федерации</w:t>
      </w:r>
      <w:r w:rsidRPr="00CA46B6">
        <w:rPr>
          <w:rFonts w:ascii="Arial" w:hAnsi="Arial" w:cs="Arial"/>
          <w:sz w:val="22"/>
          <w:szCs w:val="22"/>
        </w:rPr>
        <w:t xml:space="preserve"> состоит из бюджетов следующих уровней:</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федеральный бюджет и бюджеты государственных внебюджетных фондов Российской Федерации;</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sz w:val="22"/>
          <w:szCs w:val="22"/>
        </w:rPr>
        <w:t>бюджеты субъектов Российской Федерации и бюджеты территориальных государственных внебюджетных фондов;</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sz w:val="22"/>
          <w:szCs w:val="22"/>
        </w:rPr>
        <w:t>местные бюджеты, в том числе:</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sz w:val="22"/>
          <w:szCs w:val="22"/>
        </w:rPr>
        <w:t>бюджеты муниципальных районов, бюджеты городских округов,  бюджеты городских</w:t>
      </w:r>
      <w:r w:rsidRPr="00CA46B6">
        <w:rPr>
          <w:rFonts w:ascii="Arial" w:hAnsi="Arial" w:cs="Arial"/>
          <w:color w:val="FF0000"/>
          <w:sz w:val="22"/>
          <w:szCs w:val="22"/>
        </w:rPr>
        <w:t xml:space="preserve"> </w:t>
      </w:r>
      <w:r w:rsidRPr="00CA46B6">
        <w:rPr>
          <w:rFonts w:ascii="Arial" w:hAnsi="Arial" w:cs="Arial"/>
          <w:sz w:val="22"/>
          <w:szCs w:val="22"/>
        </w:rPr>
        <w:t>округов с внутригородским делением, бюджеты внутригородских муниципальных образований городов федерального значения Москвы, Санкт-Петербурга и Севастополя;</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бюджеты городских и сельских поселений, бюджеты внутригородских районов.</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 xml:space="preserve">Федеральный бюджет и бюджеты государственных внебюджетных фондов Российской Федерации </w:t>
      </w:r>
      <w:r w:rsidRPr="00CA46B6">
        <w:rPr>
          <w:rFonts w:ascii="Arial" w:hAnsi="Arial" w:cs="Arial"/>
          <w:sz w:val="22"/>
          <w:szCs w:val="22"/>
        </w:rPr>
        <w:t>предназначены для исполнения расходных обязательств Российской Федерации.</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Бюджет субъекта Российской Федерации (региональный бюджет) и бюджет территориального государственного внебюджетного фонда</w:t>
      </w:r>
      <w:r w:rsidRPr="00CA46B6">
        <w:rPr>
          <w:rFonts w:ascii="Arial" w:hAnsi="Arial" w:cs="Arial"/>
          <w:sz w:val="22"/>
          <w:szCs w:val="22"/>
        </w:rPr>
        <w:t xml:space="preserve"> предназначены для исполнения расходных обязательств субъекта Российской Федерации.</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Консолидированный бюджет Российской Федерации</w:t>
      </w:r>
      <w:r w:rsidRPr="00CA46B6">
        <w:rPr>
          <w:rFonts w:ascii="Arial" w:hAnsi="Arial" w:cs="Arial"/>
          <w:sz w:val="22"/>
          <w:szCs w:val="22"/>
        </w:rPr>
        <w:t xml:space="preserve"> образуют федеральный бюджет и свод консолидированных бюджетов субъектов Российской Федерации (без учета межбюджетных трансфертов между этими бюджетами).</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 xml:space="preserve">Консолидированный бюджет субъекта Российской Федерации </w:t>
      </w:r>
      <w:r w:rsidRPr="00CA46B6">
        <w:rPr>
          <w:rFonts w:ascii="Arial" w:hAnsi="Arial" w:cs="Arial"/>
          <w:sz w:val="22"/>
          <w:szCs w:val="22"/>
        </w:rPr>
        <w:t>образуют бюджет субъекта Российской Федерации и свод бюджетов муниципальных образований, входящих в состав субъекта Российской Федерации (без учета межбюджетных трансфертов между этими бюджетами).</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b/>
          <w:bCs/>
          <w:sz w:val="22"/>
          <w:szCs w:val="22"/>
        </w:rPr>
        <w:t>Доходы бюджета</w:t>
      </w:r>
      <w:r w:rsidRPr="00CA46B6">
        <w:rPr>
          <w:rFonts w:ascii="Arial" w:hAnsi="Arial" w:cs="Arial"/>
          <w:sz w:val="22"/>
          <w:szCs w:val="22"/>
        </w:rPr>
        <w:t xml:space="preserve"> </w:t>
      </w:r>
      <w:r w:rsidR="001312F5" w:rsidRPr="00CA46B6">
        <w:rPr>
          <w:rFonts w:ascii="Arial" w:hAnsi="Arial" w:cs="Arial"/>
          <w:sz w:val="22"/>
          <w:szCs w:val="22"/>
        </w:rPr>
        <w:t>–</w:t>
      </w:r>
      <w:r w:rsidRPr="00CA46B6">
        <w:rPr>
          <w:rFonts w:ascii="Arial" w:hAnsi="Arial" w:cs="Arial"/>
          <w:sz w:val="22"/>
          <w:szCs w:val="22"/>
        </w:rPr>
        <w:t xml:space="preserve"> поступающие в бюджет денежные средства, за исключением средств, являющихся в соответствии с Бюджетным кодексом Российской Федерации источниками финансирования дефицита бюджета.</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Расходы бюджета</w:t>
      </w:r>
      <w:r w:rsidRPr="00CA46B6">
        <w:rPr>
          <w:rFonts w:ascii="Arial" w:hAnsi="Arial" w:cs="Arial"/>
          <w:sz w:val="22"/>
          <w:szCs w:val="22"/>
        </w:rPr>
        <w:t xml:space="preserve"> </w:t>
      </w:r>
      <w:r w:rsidR="001312F5" w:rsidRPr="00CA46B6">
        <w:rPr>
          <w:rFonts w:ascii="Arial" w:hAnsi="Arial" w:cs="Arial"/>
          <w:sz w:val="22"/>
          <w:szCs w:val="22"/>
        </w:rPr>
        <w:t>–</w:t>
      </w:r>
      <w:r w:rsidRPr="00CA46B6">
        <w:rPr>
          <w:rFonts w:ascii="Arial" w:hAnsi="Arial" w:cs="Arial"/>
          <w:sz w:val="22"/>
          <w:szCs w:val="22"/>
        </w:rPr>
        <w:t xml:space="preserve"> выплачиваемые из бюджета денежные средства, за исключением средств, являющихся в соответствии с Бюджетным кодексом Российской Федерации источниками финансирования дефицита бюджета.</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Дефицит бюджета</w:t>
      </w:r>
      <w:r w:rsidRPr="00CA46B6">
        <w:rPr>
          <w:rFonts w:ascii="Arial" w:hAnsi="Arial" w:cs="Arial"/>
          <w:sz w:val="22"/>
          <w:szCs w:val="22"/>
        </w:rPr>
        <w:t xml:space="preserve"> </w:t>
      </w:r>
      <w:r w:rsidR="001312F5" w:rsidRPr="00CA46B6">
        <w:rPr>
          <w:rFonts w:ascii="Arial" w:hAnsi="Arial" w:cs="Arial"/>
          <w:sz w:val="22"/>
          <w:szCs w:val="22"/>
        </w:rPr>
        <w:t>–</w:t>
      </w:r>
      <w:r w:rsidRPr="00CA46B6">
        <w:rPr>
          <w:rFonts w:ascii="Arial" w:hAnsi="Arial" w:cs="Arial"/>
          <w:sz w:val="22"/>
          <w:szCs w:val="22"/>
        </w:rPr>
        <w:t xml:space="preserve"> превышение расходов бюджета над его доходами.</w:t>
      </w:r>
    </w:p>
    <w:p w:rsidR="003D1856" w:rsidRPr="00E16C57" w:rsidRDefault="003D1856" w:rsidP="005029AC">
      <w:pPr>
        <w:spacing w:before="120"/>
        <w:ind w:firstLine="709"/>
        <w:rPr>
          <w:rFonts w:ascii="Arial" w:hAnsi="Arial" w:cs="Arial"/>
          <w:sz w:val="22"/>
          <w:szCs w:val="22"/>
        </w:rPr>
      </w:pPr>
      <w:r w:rsidRPr="00E16C57">
        <w:rPr>
          <w:rFonts w:ascii="Arial" w:hAnsi="Arial" w:cs="Arial"/>
          <w:b/>
          <w:bCs/>
          <w:sz w:val="22"/>
          <w:szCs w:val="22"/>
        </w:rPr>
        <w:t>Профицит бюджета</w:t>
      </w:r>
      <w:r w:rsidRPr="00E16C57">
        <w:rPr>
          <w:rFonts w:ascii="Arial" w:hAnsi="Arial" w:cs="Arial"/>
          <w:sz w:val="22"/>
          <w:szCs w:val="22"/>
        </w:rPr>
        <w:t xml:space="preserve"> </w:t>
      </w:r>
      <w:r w:rsidR="00183DCC" w:rsidRPr="00E16C57">
        <w:rPr>
          <w:rFonts w:ascii="Arial" w:hAnsi="Arial" w:cs="Arial"/>
          <w:sz w:val="22"/>
          <w:szCs w:val="22"/>
        </w:rPr>
        <w:t>–</w:t>
      </w:r>
      <w:r w:rsidRPr="00E16C57">
        <w:rPr>
          <w:rFonts w:ascii="Arial" w:hAnsi="Arial" w:cs="Arial"/>
          <w:sz w:val="22"/>
          <w:szCs w:val="22"/>
        </w:rPr>
        <w:t xml:space="preserve"> превышение доходов бюджета над его расходами.</w:t>
      </w:r>
    </w:p>
    <w:p w:rsidR="003D1856" w:rsidRPr="00E16C57" w:rsidRDefault="003D1856" w:rsidP="005029AC">
      <w:pPr>
        <w:spacing w:before="120"/>
        <w:ind w:firstLine="709"/>
        <w:rPr>
          <w:rFonts w:ascii="Arial" w:hAnsi="Arial" w:cs="Arial"/>
          <w:sz w:val="22"/>
          <w:szCs w:val="22"/>
        </w:rPr>
      </w:pPr>
      <w:r w:rsidRPr="00E16C57">
        <w:rPr>
          <w:rFonts w:ascii="Arial" w:hAnsi="Arial" w:cs="Arial"/>
          <w:b/>
          <w:bCs/>
          <w:sz w:val="22"/>
          <w:szCs w:val="22"/>
        </w:rPr>
        <w:t>Налог</w:t>
      </w:r>
      <w:r w:rsidRPr="00E16C57">
        <w:rPr>
          <w:rFonts w:ascii="Arial" w:hAnsi="Arial" w:cs="Arial"/>
          <w:sz w:val="22"/>
          <w:szCs w:val="22"/>
        </w:rPr>
        <w:t xml:space="preserve"> –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w:t>
      </w:r>
    </w:p>
    <w:p w:rsidR="003D1856" w:rsidRPr="00E16C57" w:rsidRDefault="003D1856" w:rsidP="005029AC">
      <w:pPr>
        <w:spacing w:before="120"/>
        <w:ind w:firstLine="709"/>
        <w:rPr>
          <w:rFonts w:ascii="Arial" w:hAnsi="Arial" w:cs="Arial"/>
          <w:sz w:val="22"/>
          <w:szCs w:val="22"/>
        </w:rPr>
      </w:pPr>
      <w:r w:rsidRPr="00E16C57">
        <w:rPr>
          <w:rFonts w:ascii="Arial" w:hAnsi="Arial" w:cs="Arial"/>
          <w:b/>
          <w:bCs/>
          <w:sz w:val="22"/>
          <w:szCs w:val="22"/>
        </w:rPr>
        <w:t>Сбор</w:t>
      </w:r>
      <w:r w:rsidRPr="00E16C57">
        <w:rPr>
          <w:rFonts w:ascii="Arial" w:hAnsi="Arial" w:cs="Arial"/>
          <w:sz w:val="22"/>
          <w:szCs w:val="22"/>
        </w:rPr>
        <w:t xml:space="preserve"> –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или выдачу разрешений (лицензий), либо </w:t>
      </w:r>
      <w:r w:rsidRPr="00E16C57">
        <w:rPr>
          <w:rFonts w:ascii="Arial" w:hAnsi="Arial" w:cs="Arial"/>
          <w:sz w:val="22"/>
          <w:szCs w:val="22"/>
        </w:rPr>
        <w:lastRenderedPageBreak/>
        <w:t>уплата которого обусловлена осуществлением в пределах территории, на которой введен сбор, отдельных видов предпринимательской деятельности.</w:t>
      </w:r>
    </w:p>
    <w:p w:rsidR="003D1856" w:rsidRPr="00E16C57" w:rsidRDefault="003D1856" w:rsidP="005029AC">
      <w:pPr>
        <w:spacing w:before="120"/>
        <w:ind w:firstLine="709"/>
        <w:rPr>
          <w:rFonts w:ascii="Arial" w:hAnsi="Arial" w:cs="Arial"/>
          <w:sz w:val="22"/>
          <w:szCs w:val="22"/>
        </w:rPr>
      </w:pPr>
      <w:r w:rsidRPr="00E16C57">
        <w:rPr>
          <w:rFonts w:ascii="Arial" w:hAnsi="Arial" w:cs="Arial"/>
          <w:b/>
          <w:sz w:val="22"/>
          <w:szCs w:val="22"/>
        </w:rPr>
        <w:t>Страховые взносы</w:t>
      </w:r>
      <w:r w:rsidRPr="00E16C57">
        <w:rPr>
          <w:rFonts w:ascii="Arial" w:hAnsi="Arial" w:cs="Arial"/>
          <w:sz w:val="22"/>
          <w:szCs w:val="22"/>
        </w:rPr>
        <w:t xml:space="preserve"> – обязательные платежи на обязательное пенсионное страхование, обязательное социальное страхование на случай временной нетрудоспособности и в связи с материнством, на обязательное медицинское страхование, взимаемые с организаций и физических лиц в целях финансового обеспечения реализации прав застрахованных лиц на получение страхового обеспечения по соответствующему виду обязательного социального страхования.</w:t>
      </w:r>
    </w:p>
    <w:p w:rsidR="003D1856" w:rsidRPr="00E16C57" w:rsidRDefault="003D1856" w:rsidP="005029AC">
      <w:pPr>
        <w:spacing w:before="120"/>
        <w:ind w:firstLine="709"/>
        <w:rPr>
          <w:rFonts w:ascii="Arial" w:hAnsi="Arial" w:cs="Arial"/>
          <w:snapToGrid w:val="0"/>
          <w:sz w:val="22"/>
          <w:szCs w:val="22"/>
        </w:rPr>
      </w:pPr>
      <w:r w:rsidRPr="00E16C57">
        <w:rPr>
          <w:rFonts w:ascii="Arial" w:hAnsi="Arial" w:cs="Arial"/>
          <w:b/>
          <w:bCs/>
          <w:snapToGrid w:val="0"/>
          <w:sz w:val="22"/>
          <w:szCs w:val="22"/>
        </w:rPr>
        <w:t>Федеральные налоги и сборы</w:t>
      </w:r>
      <w:r w:rsidRPr="00E16C57">
        <w:rPr>
          <w:rFonts w:ascii="Arial" w:hAnsi="Arial" w:cs="Arial"/>
          <w:snapToGrid w:val="0"/>
          <w:sz w:val="22"/>
          <w:szCs w:val="22"/>
        </w:rPr>
        <w:t xml:space="preserve"> </w:t>
      </w:r>
      <w:r w:rsidRPr="00E16C57">
        <w:rPr>
          <w:rFonts w:ascii="Arial" w:hAnsi="Arial" w:cs="Arial"/>
          <w:sz w:val="22"/>
          <w:szCs w:val="22"/>
        </w:rPr>
        <w:t>–</w:t>
      </w:r>
      <w:r w:rsidRPr="00E16C57">
        <w:rPr>
          <w:rFonts w:ascii="Arial" w:hAnsi="Arial" w:cs="Arial"/>
          <w:snapToGrid w:val="0"/>
          <w:sz w:val="22"/>
          <w:szCs w:val="22"/>
        </w:rPr>
        <w:t xml:space="preserve"> налоги и сборы, устанавливаемые Налоговым кодексом Российской Федерации и обязательные к уплате на всей территории Российской Федерации.</w:t>
      </w:r>
    </w:p>
    <w:p w:rsidR="003D1856" w:rsidRPr="00E16C57" w:rsidRDefault="003D1856" w:rsidP="005029AC">
      <w:pPr>
        <w:spacing w:before="120"/>
        <w:ind w:firstLine="709"/>
        <w:rPr>
          <w:rFonts w:ascii="Arial" w:hAnsi="Arial" w:cs="Arial"/>
          <w:snapToGrid w:val="0"/>
          <w:sz w:val="22"/>
          <w:szCs w:val="22"/>
        </w:rPr>
      </w:pPr>
      <w:r w:rsidRPr="00E16C57">
        <w:rPr>
          <w:rFonts w:ascii="Arial" w:hAnsi="Arial" w:cs="Arial"/>
          <w:b/>
          <w:bCs/>
          <w:snapToGrid w:val="0"/>
          <w:sz w:val="22"/>
          <w:szCs w:val="22"/>
        </w:rPr>
        <w:t>Региональные налоги</w:t>
      </w:r>
      <w:r w:rsidRPr="00E16C57">
        <w:rPr>
          <w:rFonts w:ascii="Arial" w:hAnsi="Arial" w:cs="Arial"/>
          <w:snapToGrid w:val="0"/>
          <w:sz w:val="22"/>
          <w:szCs w:val="22"/>
        </w:rPr>
        <w:t xml:space="preserve"> </w:t>
      </w:r>
      <w:r w:rsidRPr="00E16C57">
        <w:rPr>
          <w:rFonts w:ascii="Arial" w:hAnsi="Arial" w:cs="Arial"/>
          <w:sz w:val="22"/>
          <w:szCs w:val="22"/>
        </w:rPr>
        <w:t>–</w:t>
      </w:r>
      <w:r w:rsidRPr="00E16C57">
        <w:rPr>
          <w:rFonts w:ascii="Arial" w:hAnsi="Arial" w:cs="Arial"/>
          <w:snapToGrid w:val="0"/>
          <w:sz w:val="22"/>
          <w:szCs w:val="22"/>
        </w:rPr>
        <w:t xml:space="preserve"> налоги, устанавливаемые Налоговым кодексом Российской Федерации и законами субъектов Российской Федерации о налогах и обязательные к уплате на территориях соответствующих субъектов Российской Федерации.</w:t>
      </w:r>
    </w:p>
    <w:p w:rsidR="003D1856" w:rsidRPr="00E16C57" w:rsidRDefault="003D1856" w:rsidP="005029AC">
      <w:pPr>
        <w:spacing w:before="120"/>
        <w:ind w:firstLine="709"/>
        <w:rPr>
          <w:rFonts w:ascii="Arial" w:hAnsi="Arial" w:cs="Arial"/>
          <w:snapToGrid w:val="0"/>
          <w:sz w:val="22"/>
          <w:szCs w:val="22"/>
        </w:rPr>
      </w:pPr>
      <w:r w:rsidRPr="00E16C57">
        <w:rPr>
          <w:rFonts w:ascii="Arial" w:hAnsi="Arial" w:cs="Arial"/>
          <w:b/>
          <w:bCs/>
          <w:snapToGrid w:val="0"/>
          <w:sz w:val="22"/>
          <w:szCs w:val="22"/>
        </w:rPr>
        <w:t>Местные налоги и сборы</w:t>
      </w:r>
      <w:r w:rsidRPr="00E16C57">
        <w:rPr>
          <w:rFonts w:ascii="Arial" w:hAnsi="Arial" w:cs="Arial"/>
          <w:bCs/>
          <w:snapToGrid w:val="0"/>
          <w:sz w:val="22"/>
          <w:szCs w:val="22"/>
        </w:rPr>
        <w:t xml:space="preserve"> </w:t>
      </w:r>
      <w:r w:rsidRPr="00E16C57">
        <w:rPr>
          <w:rFonts w:ascii="Arial" w:hAnsi="Arial" w:cs="Arial"/>
          <w:sz w:val="22"/>
          <w:szCs w:val="22"/>
        </w:rPr>
        <w:t>–</w:t>
      </w:r>
      <w:r w:rsidRPr="00E16C57">
        <w:rPr>
          <w:rFonts w:ascii="Arial" w:hAnsi="Arial" w:cs="Arial"/>
          <w:snapToGrid w:val="0"/>
          <w:sz w:val="22"/>
          <w:szCs w:val="22"/>
        </w:rPr>
        <w:t xml:space="preserve"> налоги и сборы, устанавливаемые Налоговым кодексом Российской Федерации и нормативными правовыми актами представительных органов муниципальных образований о налогах и сборах и обязательные к уплате на территориях соответствующих муниципальных образований.</w:t>
      </w:r>
    </w:p>
    <w:p w:rsidR="003D1856" w:rsidRPr="00E16C57" w:rsidRDefault="003D1856" w:rsidP="005029AC">
      <w:pPr>
        <w:spacing w:before="120"/>
        <w:ind w:firstLine="709"/>
        <w:rPr>
          <w:rFonts w:ascii="Arial" w:hAnsi="Arial" w:cs="Arial"/>
          <w:snapToGrid w:val="0"/>
          <w:sz w:val="22"/>
          <w:szCs w:val="22"/>
        </w:rPr>
      </w:pPr>
      <w:r w:rsidRPr="00E16C57">
        <w:rPr>
          <w:rFonts w:ascii="Arial" w:hAnsi="Arial" w:cs="Arial"/>
          <w:b/>
          <w:snapToGrid w:val="0"/>
          <w:sz w:val="22"/>
          <w:szCs w:val="22"/>
        </w:rPr>
        <w:t>Специальные налоговые режимы</w:t>
      </w:r>
      <w:r w:rsidRPr="00E16C57">
        <w:rPr>
          <w:rFonts w:ascii="Arial" w:hAnsi="Arial" w:cs="Arial"/>
          <w:snapToGrid w:val="0"/>
          <w:sz w:val="22"/>
          <w:szCs w:val="22"/>
        </w:rPr>
        <w:t xml:space="preserve"> предусматривают особый порядок определения элементов налогообложения, а также освобождение от обязанности по уплате отдельных налогов и сборов и применяются в случаях и порядке, которые предусмотрены Налоговым кодексом Российской Федерации и иными актами законодательства о налогах и сборах.</w:t>
      </w:r>
    </w:p>
    <w:p w:rsidR="003D1856" w:rsidRPr="00E16C57" w:rsidRDefault="003D1856" w:rsidP="005029AC">
      <w:pPr>
        <w:spacing w:before="120"/>
        <w:ind w:firstLine="720"/>
        <w:rPr>
          <w:rFonts w:ascii="Arial" w:hAnsi="Arial" w:cs="Arial"/>
          <w:snapToGrid w:val="0"/>
          <w:sz w:val="22"/>
          <w:szCs w:val="22"/>
        </w:rPr>
      </w:pPr>
      <w:r w:rsidRPr="00E16C57">
        <w:rPr>
          <w:rFonts w:ascii="Arial" w:hAnsi="Arial" w:cs="Arial"/>
          <w:b/>
          <w:bCs/>
          <w:sz w:val="22"/>
          <w:szCs w:val="22"/>
        </w:rPr>
        <w:t>Задолженность по налогам и сборам</w:t>
      </w:r>
      <w:r w:rsidRPr="00E16C57">
        <w:rPr>
          <w:rFonts w:ascii="Arial" w:hAnsi="Arial" w:cs="Arial"/>
          <w:sz w:val="22"/>
          <w:szCs w:val="22"/>
        </w:rPr>
        <w:t xml:space="preserve"> – суммарный объем выявленных и подтвержденных недополученных налоговых поступлений, законодательно установленных налогов и сборов, начисленных пени и штрафных санкций, в отношении которой применяется механизм урегулирования с целью ее снижения.</w:t>
      </w:r>
    </w:p>
    <w:p w:rsidR="003D1856" w:rsidRPr="00E16C57" w:rsidRDefault="003D1856" w:rsidP="005029AC">
      <w:pPr>
        <w:spacing w:before="120"/>
        <w:ind w:firstLine="720"/>
        <w:rPr>
          <w:rFonts w:ascii="Arial" w:hAnsi="Arial" w:cs="Arial"/>
          <w:snapToGrid w:val="0"/>
          <w:sz w:val="22"/>
          <w:szCs w:val="22"/>
        </w:rPr>
      </w:pPr>
      <w:r w:rsidRPr="00E16C57">
        <w:rPr>
          <w:rFonts w:ascii="Arial" w:hAnsi="Arial" w:cs="Arial"/>
          <w:b/>
          <w:snapToGrid w:val="0"/>
          <w:sz w:val="22"/>
          <w:szCs w:val="22"/>
        </w:rPr>
        <w:t xml:space="preserve">Совокупная задолженность по налогам и сборам, страховым взносам, пеням и налоговым санкциям </w:t>
      </w:r>
      <w:r w:rsidRPr="00E16C57">
        <w:rPr>
          <w:rFonts w:ascii="Arial" w:hAnsi="Arial" w:cs="Arial"/>
          <w:snapToGrid w:val="0"/>
          <w:sz w:val="22"/>
          <w:szCs w:val="22"/>
        </w:rPr>
        <w:t>включает в себя недоимку, задолженность по уплате пеней и санкций, урегулированную и невозможную к взысканию задолженность по налогам и сборам, страховым взносам, пеням и налоговым санкциям, в том числе задолженность организаций, индивидуальных предпринимателей и граждан, находящихся в процедурах банкротства.</w:t>
      </w:r>
    </w:p>
    <w:p w:rsidR="003D1856" w:rsidRPr="00E16C57" w:rsidRDefault="003D1856" w:rsidP="005029AC">
      <w:pPr>
        <w:spacing w:before="120"/>
        <w:ind w:firstLine="720"/>
        <w:rPr>
          <w:rFonts w:ascii="Arial" w:hAnsi="Arial" w:cs="Arial"/>
          <w:snapToGrid w:val="0"/>
          <w:sz w:val="22"/>
          <w:szCs w:val="22"/>
        </w:rPr>
      </w:pPr>
      <w:r w:rsidRPr="00E16C57">
        <w:rPr>
          <w:rFonts w:ascii="Arial" w:hAnsi="Arial" w:cs="Arial"/>
          <w:b/>
          <w:sz w:val="22"/>
          <w:szCs w:val="22"/>
        </w:rPr>
        <w:t>Недоимка</w:t>
      </w:r>
      <w:r w:rsidRPr="00E16C57">
        <w:rPr>
          <w:rFonts w:ascii="Arial" w:hAnsi="Arial" w:cs="Arial"/>
          <w:sz w:val="22"/>
          <w:szCs w:val="22"/>
        </w:rPr>
        <w:t xml:space="preserve"> – сумма неуплаченного в установленный срок налога или сбора.</w:t>
      </w:r>
    </w:p>
    <w:p w:rsidR="003D1856" w:rsidRPr="00E16C57" w:rsidRDefault="003D1856" w:rsidP="005029AC">
      <w:pPr>
        <w:spacing w:before="120"/>
        <w:ind w:firstLine="720"/>
        <w:rPr>
          <w:rFonts w:ascii="Arial" w:hAnsi="Arial" w:cs="Arial"/>
          <w:sz w:val="22"/>
          <w:szCs w:val="22"/>
        </w:rPr>
      </w:pPr>
      <w:r w:rsidRPr="00E16C57">
        <w:rPr>
          <w:rFonts w:ascii="Arial" w:hAnsi="Arial" w:cs="Arial"/>
          <w:b/>
          <w:sz w:val="22"/>
          <w:szCs w:val="22"/>
        </w:rPr>
        <w:t>Урегулированная задолженность</w:t>
      </w:r>
      <w:r w:rsidRPr="00E16C57">
        <w:rPr>
          <w:rFonts w:ascii="Arial" w:hAnsi="Arial" w:cs="Arial"/>
          <w:sz w:val="22"/>
          <w:szCs w:val="22"/>
        </w:rPr>
        <w:t xml:space="preserve"> – задолженность, в отношении которой применены методы урегулирования в виде реструктуризации, отсрочек, рассрочек или приостановления взыскания.</w:t>
      </w:r>
    </w:p>
    <w:p w:rsidR="003D1856" w:rsidRPr="00CA46B6" w:rsidRDefault="003D1856" w:rsidP="005029AC">
      <w:pPr>
        <w:spacing w:before="120"/>
        <w:ind w:firstLine="709"/>
        <w:rPr>
          <w:rFonts w:ascii="Arial" w:hAnsi="Arial" w:cs="Arial"/>
          <w:sz w:val="22"/>
          <w:szCs w:val="22"/>
        </w:rPr>
      </w:pPr>
      <w:r w:rsidRPr="00E16C57">
        <w:rPr>
          <w:rFonts w:ascii="Arial" w:hAnsi="Arial" w:cs="Arial"/>
          <w:b/>
          <w:sz w:val="22"/>
          <w:szCs w:val="22"/>
        </w:rPr>
        <w:t>Сальдированный финансовый результат (прибыль (+) убыток</w:t>
      </w:r>
      <w:r w:rsidRPr="00E16C57">
        <w:rPr>
          <w:rFonts w:ascii="Arial" w:hAnsi="Arial" w:cs="Arial"/>
          <w:b/>
          <w:i/>
          <w:sz w:val="22"/>
          <w:szCs w:val="22"/>
        </w:rPr>
        <w:t xml:space="preserve"> </w:t>
      </w:r>
      <w:r w:rsidRPr="00E16C57">
        <w:rPr>
          <w:rFonts w:ascii="Arial" w:hAnsi="Arial" w:cs="Arial"/>
          <w:b/>
          <w:sz w:val="22"/>
          <w:szCs w:val="22"/>
        </w:rPr>
        <w:t>(-))</w:t>
      </w:r>
      <w:r w:rsidR="003F23B5" w:rsidRPr="00E16C57">
        <w:rPr>
          <w:rFonts w:ascii="Arial" w:hAnsi="Arial" w:cs="Arial"/>
          <w:sz w:val="22"/>
          <w:szCs w:val="22"/>
        </w:rPr>
        <w:t xml:space="preserve"> –</w:t>
      </w:r>
      <w:r w:rsidRPr="00E16C57">
        <w:rPr>
          <w:rFonts w:ascii="Arial" w:hAnsi="Arial" w:cs="Arial"/>
          <w:sz w:val="22"/>
          <w:szCs w:val="22"/>
        </w:rPr>
        <w:t xml:space="preserve"> конечный финансовый результат, выявленный на основании бухгалтерского учета всех</w:t>
      </w:r>
      <w:r w:rsidRPr="00CA46B6">
        <w:rPr>
          <w:rFonts w:ascii="Arial" w:hAnsi="Arial" w:cs="Arial"/>
          <w:sz w:val="22"/>
          <w:szCs w:val="22"/>
        </w:rPr>
        <w:t xml:space="preserve"> хозяйственных операций организаций, представляет собой сумму сальдированного финансового результата (прибыль (+), убыток (-)) от продажи товаров, продукции (работ, услуг), основных средств, иного имущества организаций и прочих доходов, уменьшенных на сумму прочих расходов.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Темпы изменения сальдированного финансового результата отчетного периода по сравнению с соответствующим периодом предыдущего года рассчитаны по сопоставимому кругу организаций; с учетом корректировки данных соответствующего периода предыдущего года, исходя из изменений учетной политики, законодательных актов и др. в соответствии с методологией бухгалтерского учета. Прочерк означает, что в одном или обоих сопоставляемых периодах был получен отрицательный сальдированный финансовый результат.</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lastRenderedPageBreak/>
        <w:t>Суммарная задолженность</w:t>
      </w:r>
      <w:r w:rsidRPr="00CA46B6">
        <w:rPr>
          <w:rFonts w:ascii="Arial" w:hAnsi="Arial" w:cs="Arial"/>
          <w:sz w:val="22"/>
          <w:szCs w:val="22"/>
        </w:rPr>
        <w:t xml:space="preserve"> </w:t>
      </w:r>
      <w:r w:rsidRPr="00CA46B6">
        <w:rPr>
          <w:rFonts w:ascii="Arial" w:hAnsi="Arial" w:cs="Arial"/>
          <w:b/>
          <w:sz w:val="22"/>
          <w:szCs w:val="22"/>
        </w:rPr>
        <w:t>по обязательствам</w:t>
      </w:r>
      <w:r w:rsidRPr="00CA46B6">
        <w:rPr>
          <w:rFonts w:ascii="Arial" w:hAnsi="Arial" w:cs="Arial"/>
          <w:sz w:val="22"/>
          <w:szCs w:val="22"/>
        </w:rPr>
        <w:t xml:space="preserve"> – кредиторская задолженность и задолженность по кредитам банков и займам.</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Кредиторская задолженность</w:t>
      </w:r>
      <w:r w:rsidRPr="00CA46B6">
        <w:rPr>
          <w:rFonts w:ascii="Arial" w:hAnsi="Arial" w:cs="Arial"/>
          <w:sz w:val="22"/>
          <w:szCs w:val="22"/>
        </w:rPr>
        <w:t xml:space="preserve"> – задолженность по расчетам с поставщиками и подрядчиками за поступившие материальные ценности, выполненные работы и оказанные услуги, в том числе задолженность, обеспеченная векселями выданными; задолженность по расчетам с дочерними и зависимыми обществами по всем видам операций; с рабочими и служащими по оплате труда, представляющая собой начисленные, но не выплаченные суммы оплаты труда; задолженность по отчислениям на государственное социальное страхование, пенсионное обеспечение и медицинское страхование работников организации, задолженность по всем видам платежей в бюджет и внебюджетные фонды; задолженность организации по платежам по обязательному и добровольному страхованию имущества и работников организации и другим видам страхования, в которых организация является страхователем; авансы полученные, включающие сумму полученных авансов от сторонних организаций по предстоящим расчетам по заключенным договорам, а также штрафы, пени и неустойки, признанные организацией или по которым получены решения суда (арбитражного суда) или другого органа, имеющего в соответствии с законодательством Российской Федерации право на принятие решения об их взыскании, и отнесенные на финансовые результаты организации, непогашенные суммы заемных средств, подлежащие погашению в соответствии с договорами.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Дебиторская задолженность</w:t>
      </w:r>
      <w:r w:rsidRPr="00CA46B6">
        <w:rPr>
          <w:rFonts w:ascii="Arial" w:hAnsi="Arial" w:cs="Arial"/>
          <w:sz w:val="22"/>
          <w:szCs w:val="22"/>
        </w:rPr>
        <w:t xml:space="preserve"> – задолженность по расчетам с покупателями и заказчиками за товары, работы и услуги, в том числе задолженность, обеспеченная векселями полученными;  задолженность по расчетам с дочерними и зависимыми обществами; суммы уплаченных другим организациям авансов по предстоящим расчетам в соответствии с заключенными договорами; задолженность по расчетам с прочими дебиторами, включающая в себя задолженность финансовых и налоговых органов (в том числе по переплате по налогам, сборам и прочим платежам в бюджет); задолженность работников организации по предоставленным им ссудам и займам за счет средств этой организации или кредита (ссуды на индивидуальное и кооперативное жилищное строительство, приобретение и благоустройство садовых участков, беспроцентные ссуды молодым семьям на улучшение жилищных условий или обзаведение домашним хозяйством и др.); задолженность подотчетных лиц; поставщиков по недостачам товарно-материальных ценностей, обнаруженным при приемке; задолженность по государственным заказам, федеральным программам за поставленные товары, работы и услуги, а также штрафы, пени и неустойки, признанные должником, или по которым получены решения суда (арбитражного суда) или другого органа, имеющего в соответствии с законодательством Российской Федерации право на принятие решения об их взыскании, и отнесенные на финансовые результаты организации.</w:t>
      </w:r>
    </w:p>
    <w:p w:rsidR="003D1856" w:rsidRPr="00CA46B6" w:rsidRDefault="003D1856" w:rsidP="005029AC">
      <w:pPr>
        <w:spacing w:before="120"/>
        <w:jc w:val="left"/>
        <w:rPr>
          <w:rFonts w:ascii="Arial" w:hAnsi="Arial" w:cs="Arial"/>
          <w:b/>
          <w:bCs/>
          <w:sz w:val="28"/>
          <w:szCs w:val="28"/>
        </w:rPr>
      </w:pPr>
      <w:r w:rsidRPr="00CA46B6">
        <w:rPr>
          <w:rFonts w:ascii="Arial" w:hAnsi="Arial" w:cs="Arial"/>
          <w:b/>
          <w:bCs/>
          <w:sz w:val="28"/>
          <w:szCs w:val="28"/>
        </w:rPr>
        <w:t>Уровень жизни населения</w:t>
      </w:r>
    </w:p>
    <w:p w:rsidR="003D1856" w:rsidRPr="00CA46B6" w:rsidRDefault="003D1856" w:rsidP="005029AC">
      <w:pPr>
        <w:spacing w:before="120"/>
        <w:jc w:val="left"/>
        <w:rPr>
          <w:rFonts w:ascii="Arial" w:hAnsi="Arial" w:cs="Arial"/>
          <w:b/>
          <w:bCs/>
          <w:sz w:val="22"/>
          <w:szCs w:val="22"/>
        </w:rPr>
      </w:pPr>
      <w:r w:rsidRPr="00CA46B6">
        <w:rPr>
          <w:rFonts w:ascii="Arial" w:hAnsi="Arial" w:cs="Arial"/>
          <w:b/>
          <w:bCs/>
          <w:sz w:val="22"/>
          <w:szCs w:val="22"/>
        </w:rPr>
        <w:t>(денежные доходы населения, заработная плата)</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Расчет показателей </w:t>
      </w:r>
      <w:r w:rsidRPr="00CA46B6">
        <w:rPr>
          <w:rFonts w:ascii="Arial" w:hAnsi="Arial" w:cs="Arial"/>
          <w:b/>
          <w:sz w:val="22"/>
          <w:szCs w:val="22"/>
        </w:rPr>
        <w:t>денежных доходов и расходов</w:t>
      </w:r>
      <w:r w:rsidRPr="00CA46B6">
        <w:rPr>
          <w:rFonts w:ascii="Arial" w:hAnsi="Arial" w:cs="Arial"/>
          <w:sz w:val="22"/>
          <w:szCs w:val="22"/>
        </w:rPr>
        <w:t xml:space="preserve"> </w:t>
      </w:r>
      <w:r w:rsidRPr="00CA46B6">
        <w:rPr>
          <w:rFonts w:ascii="Arial" w:hAnsi="Arial" w:cs="Arial"/>
          <w:b/>
          <w:sz w:val="22"/>
          <w:szCs w:val="22"/>
        </w:rPr>
        <w:t>населени</w:t>
      </w:r>
      <w:r w:rsidRPr="00CA46B6">
        <w:rPr>
          <w:rFonts w:ascii="Arial" w:hAnsi="Arial" w:cs="Arial"/>
          <w:sz w:val="22"/>
          <w:szCs w:val="22"/>
        </w:rPr>
        <w:t xml:space="preserve">я производится в соответствии с Методологическими положениями по расчету показателей денежных доходов и расходов населения, утвержденными приказом Росстата от 02.07.2014 </w:t>
      </w:r>
      <w:r w:rsidR="00E0756D" w:rsidRPr="00CA46B6">
        <w:rPr>
          <w:rFonts w:ascii="Arial" w:hAnsi="Arial" w:cs="Arial"/>
          <w:sz w:val="22"/>
          <w:szCs w:val="22"/>
        </w:rPr>
        <w:br/>
      </w:r>
      <w:r w:rsidRPr="00CA46B6">
        <w:rPr>
          <w:rFonts w:ascii="Arial" w:hAnsi="Arial" w:cs="Arial"/>
          <w:sz w:val="22"/>
          <w:szCs w:val="22"/>
        </w:rPr>
        <w:t xml:space="preserve">№ 465 с изменениями от 20.11.2018. Информация публикуется ежеквартально в соответствии с распоряжением Правительства Российской Федерации от 20.03.2019 </w:t>
      </w:r>
      <w:r w:rsidR="00E0756D" w:rsidRPr="00CA46B6">
        <w:rPr>
          <w:rFonts w:ascii="Arial" w:hAnsi="Arial" w:cs="Arial"/>
          <w:sz w:val="22"/>
          <w:szCs w:val="22"/>
        </w:rPr>
        <w:br/>
      </w:r>
      <w:r w:rsidRPr="00CA46B6">
        <w:rPr>
          <w:rFonts w:ascii="Arial" w:hAnsi="Arial" w:cs="Arial"/>
          <w:sz w:val="22"/>
          <w:szCs w:val="22"/>
        </w:rPr>
        <w:t xml:space="preserve">№ 469-р (в </w:t>
      </w:r>
      <w:r w:rsidR="003116CC" w:rsidRPr="00CA46B6">
        <w:rPr>
          <w:rFonts w:ascii="Arial" w:hAnsi="Arial" w:cs="Arial"/>
          <w:sz w:val="22"/>
          <w:szCs w:val="22"/>
        </w:rPr>
        <w:t>докладах за январь, январь-апрель, январь-июль, январь-октябрь</w:t>
      </w:r>
      <w:r w:rsidR="0093189E" w:rsidRPr="00CA46B6">
        <w:rPr>
          <w:rFonts w:ascii="Arial" w:hAnsi="Arial" w:cs="Arial"/>
          <w:sz w:val="22"/>
          <w:szCs w:val="22"/>
        </w:rPr>
        <w:t>)</w:t>
      </w:r>
      <w:r w:rsidRPr="00CA46B6">
        <w:rPr>
          <w:rFonts w:ascii="Arial" w:hAnsi="Arial" w:cs="Arial"/>
          <w:sz w:val="22"/>
          <w:szCs w:val="22"/>
        </w:rPr>
        <w:t>.</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b/>
          <w:sz w:val="22"/>
          <w:szCs w:val="22"/>
        </w:rPr>
        <w:t>Данные о денежных доходах и расходах населения</w:t>
      </w:r>
      <w:r w:rsidRPr="00CA46B6">
        <w:rPr>
          <w:rFonts w:ascii="Arial" w:hAnsi="Arial" w:cs="Arial"/>
          <w:sz w:val="22"/>
          <w:szCs w:val="22"/>
        </w:rPr>
        <w:t xml:space="preserve"> формируются на основе официальной статистической информации о произведенных выплатах денежных средств населению и полученных от населения денежных средствах с использованием данных регулярной статистической отчетности хозяйствующих субъектов, органов государственного управления и финансовых учреждений, а также с использованием системы дооценок объемов доходов и расходов населения в неформальном секторе </w:t>
      </w:r>
      <w:r w:rsidRPr="00CA46B6">
        <w:rPr>
          <w:rFonts w:ascii="Arial" w:hAnsi="Arial" w:cs="Arial"/>
          <w:sz w:val="22"/>
          <w:szCs w:val="22"/>
        </w:rPr>
        <w:lastRenderedPageBreak/>
        <w:t>экономики. При отсутствии ряда показателей в необходимые сроки (это касается в основном банковских данных) производится их оценка.</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При публикации объема денежных доходов и расходов населения за отчетный период производится уточнение предварительных показателей за предыдущий период. Пересмотр квартальных данных осуществляется по итогам разработки годового баланса денежных доходов и расходов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Денежные доходы населения</w:t>
      </w:r>
      <w:r w:rsidRPr="00CA46B6">
        <w:rPr>
          <w:rFonts w:ascii="Arial" w:hAnsi="Arial" w:cs="Arial"/>
          <w:sz w:val="22"/>
          <w:szCs w:val="22"/>
        </w:rPr>
        <w:t xml:space="preserve"> включают доходы лиц, работающих по найму; доходы от самостоятельной занятости (доходов от предпринимательской деятельности и другой производственной деятельности); социальные выплаты (пенсии, пособия, стипендии и другие выплаты); доходы от собственности (дивиденды, проценты, начисленные по денежным средствам на банковских счетах физических лиц в кредитных организациях; выплата доходов по государственным и другим ценным бумагам; инвестиционный доход (доход от собственности держателей полисов); прочие денежные поступления.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Номинальные денежные доходы</w:t>
      </w:r>
      <w:r w:rsidRPr="00CA46B6">
        <w:rPr>
          <w:rFonts w:ascii="Arial" w:hAnsi="Arial" w:cs="Arial"/>
          <w:sz w:val="22"/>
          <w:szCs w:val="22"/>
        </w:rPr>
        <w:t xml:space="preserve"> в расчете на душу населения исчисляются делением общей суммы денежных доходов на численность постоянного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Реальные денежные доходы</w:t>
      </w:r>
      <w:r w:rsidRPr="00CA46B6">
        <w:rPr>
          <w:rFonts w:ascii="Arial" w:hAnsi="Arial" w:cs="Arial"/>
          <w:sz w:val="22"/>
          <w:szCs w:val="22"/>
        </w:rPr>
        <w:t xml:space="preserve"> – относительный показатель, характеризующий динамику денежных доходов населения по сравнению с изменением цен на товары и услуги и исчисленный путем деления индекса номинального размера денежных доходов населения (т.е. фактически сложившегося в отчетном периоде) на индекс потребительских цен за соответствующий временной период. </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Реальные</w:t>
      </w:r>
      <w:r w:rsidRPr="00CA46B6">
        <w:rPr>
          <w:rFonts w:ascii="Arial" w:hAnsi="Arial" w:cs="Arial"/>
          <w:sz w:val="22"/>
          <w:szCs w:val="22"/>
        </w:rPr>
        <w:t xml:space="preserve"> </w:t>
      </w:r>
      <w:r w:rsidRPr="00CA46B6">
        <w:rPr>
          <w:rFonts w:ascii="Arial" w:hAnsi="Arial" w:cs="Arial"/>
          <w:b/>
          <w:sz w:val="22"/>
          <w:szCs w:val="22"/>
        </w:rPr>
        <w:t>располагаемые денежные доходы</w:t>
      </w:r>
      <w:r w:rsidRPr="00CA46B6">
        <w:rPr>
          <w:rFonts w:ascii="Arial" w:hAnsi="Arial" w:cs="Arial"/>
          <w:sz w:val="22"/>
          <w:szCs w:val="22"/>
        </w:rPr>
        <w:t xml:space="preserve"> – относительный показатель, характеризующий динамику располагаемых денежных доходов населения (денежные доходы за вычетом обязательных платежей) по сравнению с изменением цен на товары и услуги и исчисленный путем деления индекса номинального размера располагаемых денежных доходов населения (т.е. фактически сложившегося в отчетном периоде) на индекс потребительских цен за соответствующий временной период.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Денежные расходы населения</w:t>
      </w:r>
      <w:r w:rsidRPr="00CA46B6">
        <w:rPr>
          <w:rFonts w:ascii="Arial" w:hAnsi="Arial" w:cs="Arial"/>
          <w:sz w:val="22"/>
          <w:szCs w:val="22"/>
        </w:rPr>
        <w:t xml:space="preserve"> – включают расходы на покупку товаров и оплату услуг, платежи за товары (работы, услуги) зарубежным поставщикам за безналичный и наличный расчет, включая сальдо трансграничной Интернет-торговли; расходы на оплату обязательных платежей и разнообразных взносов; прочие расходы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 сбережениям населения</w:t>
      </w:r>
      <w:r w:rsidRPr="00CA46B6">
        <w:rPr>
          <w:rFonts w:ascii="Arial" w:hAnsi="Arial" w:cs="Arial"/>
          <w:sz w:val="22"/>
          <w:szCs w:val="22"/>
        </w:rPr>
        <w:t xml:space="preserve"> относятся: прирост (уменьшение) сбережений на рублевых и валютных счетах в банках Российской Федерации и за рубежом; прирост (уменьшение) средств в форме кредитов и займов от иностранных контрагентов; прирост (уменьшение) сбережений в ценных бумагах (включая векселя и долговые ценные бумаги); расходы на покупку недвижимости (включая сальдо операций с инструментами участия в капитале и недвижимостью за рубежом); прирост (уменьшение) наличных денег на руках у населения в рублях и в иностранной валюте в рублевом эквиваленте; прирост (уменьшение) прочих сбережений. Общий объем сбережений населения корректируется на величину финансовых обязательств (кредиты, ссуды) и на величину реализации финансовых активов (средств от продажи и погашения инвестиционных паев, от реализации долей участия в уставном капитале организаций и др.).</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Среднемесячная номинальная заработная плата</w:t>
      </w:r>
      <w:r w:rsidRPr="00CA46B6">
        <w:rPr>
          <w:rFonts w:ascii="Arial" w:hAnsi="Arial" w:cs="Arial"/>
          <w:sz w:val="22"/>
          <w:szCs w:val="22"/>
        </w:rPr>
        <w:t xml:space="preserve"> работников организаций исчисляется делением фонда начисленной заработной платы работников на среднесписочную численность работников и на количество месяцев в периоде.</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sz w:val="22"/>
          <w:szCs w:val="22"/>
        </w:rPr>
        <w:t>фонд заработной платы</w:t>
      </w:r>
      <w:r w:rsidRPr="00CA46B6">
        <w:rPr>
          <w:rFonts w:ascii="Arial" w:hAnsi="Arial" w:cs="Arial"/>
          <w:sz w:val="22"/>
          <w:szCs w:val="22"/>
        </w:rPr>
        <w:t xml:space="preserve"> включаются начисленные суммы в денежной и неденежной формах за отработанное и неотработанное время, доплаты и надбавки, премии и единовременные поощрения, компенсационные выплаты, связанные с режимом работы и условиями труда, а также оплата питания и проживания, имеющая систематический характер.</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lastRenderedPageBreak/>
        <w:t>Темпы роста (снижения) среднемесячной номинальной заработной платы рассчитываются по сопоставимой совокупности организаций отчетного и предыдущих периодов.</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Реальная заработная плата</w:t>
      </w:r>
      <w:r w:rsidRPr="00CA46B6">
        <w:rPr>
          <w:rFonts w:ascii="Arial" w:hAnsi="Arial" w:cs="Arial"/>
          <w:sz w:val="22"/>
          <w:szCs w:val="22"/>
        </w:rPr>
        <w:t xml:space="preserve"> характеризует покупательную способность заработной платы в отчетном периоде в связи с изменением цен на потребительские товары и услуги по сравнению с базисным периодом. Для этого рассчитывается индекс реальной заработной платы путем деления индекса номинальной заработной платы на индекс потребительских цен за один и тот же временной период.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Просроченной задолженностью по заработной плате</w:t>
      </w:r>
      <w:r w:rsidRPr="00CA46B6">
        <w:rPr>
          <w:rFonts w:ascii="Arial" w:hAnsi="Arial" w:cs="Arial"/>
          <w:sz w:val="22"/>
          <w:szCs w:val="22"/>
        </w:rPr>
        <w:t xml:space="preserve"> считаются фактически начисленные работникам суммы заработной платы, но не выплаченные в срок, установленный коллективным договором или договором на расчетно-кассовое обслуживание, заключенным с банком. Число дней задержки считается, начиная со следующего дня после истечения этого срока.</w:t>
      </w:r>
    </w:p>
    <w:p w:rsidR="003D1856" w:rsidRPr="00CA46B6" w:rsidRDefault="003D1856" w:rsidP="005029AC">
      <w:pPr>
        <w:spacing w:before="120"/>
        <w:ind w:firstLine="709"/>
        <w:rPr>
          <w:rFonts w:ascii="Arial" w:hAnsi="Arial" w:cs="Arial"/>
          <w:iCs/>
          <w:sz w:val="22"/>
          <w:szCs w:val="22"/>
        </w:rPr>
      </w:pPr>
      <w:r w:rsidRPr="00CA46B6">
        <w:rPr>
          <w:rFonts w:ascii="Arial" w:hAnsi="Arial" w:cs="Arial"/>
          <w:sz w:val="22"/>
          <w:szCs w:val="22"/>
        </w:rPr>
        <w:t xml:space="preserve">Данные </w:t>
      </w:r>
      <w:r w:rsidRPr="00CA46B6">
        <w:rPr>
          <w:rFonts w:ascii="Arial" w:hAnsi="Arial" w:cs="Arial"/>
          <w:iCs/>
          <w:sz w:val="22"/>
          <w:szCs w:val="22"/>
        </w:rPr>
        <w:t>разрабатываются в соответствии с ОКВЭД2 по следующим видам экономической деятельности: растениеводство и животноводство, охота и предоставление соответствующих услуг в этих областях; лесозаготовки; рыболовство и рыбоводство;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 строительство; транспорт; управление недвижимым имуществом за вознаграждение или на договорной основе; научные исследования и разработки; образование; деятельность в области здравоохранения и социальных услуг; деятельность в области культуры, искусства, отдыха и развлечений, теле- и радиовещания, прочих информационных услуг.</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При определении </w:t>
      </w:r>
      <w:r w:rsidRPr="00CA46B6">
        <w:rPr>
          <w:rFonts w:ascii="Arial" w:hAnsi="Arial" w:cs="Arial"/>
          <w:b/>
          <w:sz w:val="22"/>
          <w:szCs w:val="22"/>
        </w:rPr>
        <w:t>задолженности из федерального бюджета</w:t>
      </w:r>
      <w:r w:rsidRPr="00CA46B6">
        <w:rPr>
          <w:rFonts w:ascii="Arial" w:hAnsi="Arial" w:cs="Arial"/>
          <w:sz w:val="22"/>
          <w:szCs w:val="22"/>
        </w:rPr>
        <w:t xml:space="preserve"> организациями учитываются невыплаченные своевременно средства федерального бюджета, относящиеся, в соответствии с бюджетной классификацией, к статье «оплата труда», а также суммы оплаты труда, предусмотренные за выполнение государственных заказов и целевых производственных программ, финансируемых из федерального бюджета.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Покупательная способность</w:t>
      </w:r>
      <w:r w:rsidRPr="00CA46B6">
        <w:rPr>
          <w:rFonts w:ascii="Arial" w:hAnsi="Arial" w:cs="Arial"/>
          <w:sz w:val="22"/>
          <w:szCs w:val="22"/>
        </w:rPr>
        <w:t xml:space="preserve"> </w:t>
      </w:r>
      <w:r w:rsidRPr="00CA46B6">
        <w:rPr>
          <w:rFonts w:ascii="Arial" w:hAnsi="Arial" w:cs="Arial"/>
          <w:b/>
          <w:bCs/>
          <w:sz w:val="22"/>
          <w:szCs w:val="22"/>
        </w:rPr>
        <w:t>среднедушевых денежных доходов населения</w:t>
      </w:r>
      <w:r w:rsidRPr="00CA46B6">
        <w:rPr>
          <w:rFonts w:ascii="Arial" w:hAnsi="Arial" w:cs="Arial"/>
          <w:sz w:val="22"/>
          <w:szCs w:val="22"/>
        </w:rPr>
        <w:t xml:space="preserve"> отражает потенциальные возможности</w:t>
      </w:r>
      <w:r w:rsidRPr="00CA46B6">
        <w:rPr>
          <w:rFonts w:ascii="Arial" w:hAnsi="Arial" w:cs="Arial"/>
          <w:color w:val="000000"/>
          <w:sz w:val="22"/>
          <w:szCs w:val="22"/>
        </w:rPr>
        <w:t xml:space="preserve"> населения по приобретению</w:t>
      </w:r>
      <w:r w:rsidRPr="00CA46B6">
        <w:rPr>
          <w:rFonts w:ascii="Arial" w:hAnsi="Arial" w:cs="Arial"/>
          <w:sz w:val="22"/>
          <w:szCs w:val="22"/>
        </w:rPr>
        <w:t xml:space="preserve"> товаров и услуг и выражается через товарный эквивалент среднедушевых денежных доходов. Под товарным эквивалентом понимается количество какого-либо одного товара (услуги) с конкретными потребительскими свойствами, которое может быть приобретено при условии, что вся сумма денежных доходов будет направлена только на эти цели. Показатель рассчитывается нарастающим итогом с начала года.</w:t>
      </w:r>
    </w:p>
    <w:p w:rsidR="003D1856" w:rsidRPr="00CA46B6" w:rsidRDefault="003D1856" w:rsidP="005029AC">
      <w:pPr>
        <w:pStyle w:val="4"/>
        <w:widowControl w:val="0"/>
        <w:spacing w:before="120"/>
        <w:ind w:firstLine="0"/>
        <w:rPr>
          <w:rFonts w:ascii="Arial" w:hAnsi="Arial" w:cs="Arial"/>
          <w:szCs w:val="28"/>
        </w:rPr>
      </w:pPr>
      <w:r w:rsidRPr="00CA46B6">
        <w:rPr>
          <w:rFonts w:ascii="Arial" w:hAnsi="Arial" w:cs="Arial"/>
          <w:szCs w:val="28"/>
        </w:rPr>
        <w:t>Занятость и безработица</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Информация о численности рабочей силы, занятых и общей численности безработных (применительно к стандартам МОТ) подготавливается по материалам выборочных обследований рабочей силы. Обследование домохозяйств проводится на основе выборочного метода наблюдения с последующим распространением итогов на </w:t>
      </w:r>
      <w:r w:rsidRPr="00CA46B6">
        <w:rPr>
          <w:rFonts w:ascii="Arial" w:hAnsi="Arial" w:cs="Arial"/>
          <w:color w:val="000000"/>
          <w:sz w:val="22"/>
          <w:szCs w:val="22"/>
        </w:rPr>
        <w:t>всю численность населения обследуемого возраста.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Численность рабочей силы</w:t>
      </w:r>
      <w:r w:rsidRPr="00CA46B6">
        <w:rPr>
          <w:rFonts w:ascii="Arial" w:hAnsi="Arial" w:cs="Arial"/>
          <w:sz w:val="22"/>
          <w:szCs w:val="22"/>
        </w:rPr>
        <w:t xml:space="preserve"> – лица в возрасте 15 лет и старше, которые в рассматриваемый период (обследуемую неделю) считаются занятыми или безработными.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Занятые </w:t>
      </w:r>
      <w:r w:rsidRPr="00CA46B6">
        <w:rPr>
          <w:rFonts w:ascii="Arial" w:hAnsi="Arial" w:cs="Arial"/>
          <w:sz w:val="22"/>
          <w:szCs w:val="22"/>
        </w:rPr>
        <w:t>– лица в возрасте 15 лет и старше, которые в обследуемую неделю выполняли любую деятельность (хотя бы один час в неделю), связанную с производством товаров или оказанием услуг за оплату или прибыль. В численность занятых включаются также лица, временно отсутствовавшие на рабочем месте в течение короткого промежутка времени и сохранившие связь с рабочим местом во время отсутствия.</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lastRenderedPageBreak/>
        <w:t xml:space="preserve">К </w:t>
      </w:r>
      <w:r w:rsidRPr="00CA46B6">
        <w:rPr>
          <w:rFonts w:ascii="Arial" w:hAnsi="Arial" w:cs="Arial"/>
          <w:b/>
          <w:sz w:val="22"/>
          <w:szCs w:val="22"/>
        </w:rPr>
        <w:t xml:space="preserve">безработным </w:t>
      </w:r>
      <w:r w:rsidRPr="00CA46B6">
        <w:rPr>
          <w:rFonts w:ascii="Arial" w:hAnsi="Arial" w:cs="Arial"/>
          <w:sz w:val="22"/>
          <w:szCs w:val="22"/>
        </w:rPr>
        <w:t>(в соответствии</w:t>
      </w:r>
      <w:r w:rsidRPr="00CA46B6">
        <w:rPr>
          <w:rFonts w:ascii="Arial" w:hAnsi="Arial" w:cs="Arial"/>
          <w:b/>
          <w:sz w:val="22"/>
          <w:szCs w:val="22"/>
        </w:rPr>
        <w:t xml:space="preserve"> </w:t>
      </w:r>
      <w:r w:rsidRPr="00CA46B6">
        <w:rPr>
          <w:rFonts w:ascii="Arial" w:hAnsi="Arial" w:cs="Arial"/>
          <w:sz w:val="22"/>
          <w:szCs w:val="22"/>
        </w:rPr>
        <w:t>со стандартами Международной Организации Труда – МОТ) относятся лица в возрасте 15 лет и старше, которые в рассматриваемый период удовлетворяли одновременно следующим критериям: а) не имели работы (доходного занятия); б) занимались поиском работы в течение последних четырех недель, используя при этом любые способы поиска работы; в) были готовы приступить к работе в течение обследуемой недели. Обучающиеся в образовательных организациях, пенсионеры и инвалиды учитывались в качестве безработных, если они не имели работы, занимались поиском работы и были готовы приступить к ней.</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Уровень безработицы</w:t>
      </w:r>
      <w:r w:rsidRPr="00CA46B6">
        <w:rPr>
          <w:rFonts w:ascii="Arial" w:hAnsi="Arial" w:cs="Arial"/>
          <w:bCs/>
          <w:sz w:val="22"/>
          <w:szCs w:val="22"/>
        </w:rPr>
        <w:t xml:space="preserve"> </w:t>
      </w:r>
      <w:r w:rsidRPr="00CA46B6">
        <w:rPr>
          <w:rFonts w:ascii="Arial" w:hAnsi="Arial" w:cs="Arial"/>
          <w:sz w:val="22"/>
          <w:szCs w:val="22"/>
        </w:rPr>
        <w:t xml:space="preserve">– отношение численности безработных к численности рабочей силы (занятых и безработных), рассчитанное в процентах. </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Безработные, зарегистрированные в органах службы занятости населения</w:t>
      </w:r>
      <w:r w:rsidRPr="00CA46B6">
        <w:rPr>
          <w:rFonts w:ascii="Arial" w:hAnsi="Arial" w:cs="Arial"/>
          <w:sz w:val="22"/>
          <w:szCs w:val="22"/>
        </w:rPr>
        <w:t xml:space="preserve"> (по данным Министерства труда и социальной защиты населения Рязанской области), – трудоспособные граждане, не имеющие работы и заработка (трудового дохода), проживающие на территории Рязанской области, зарегистрированные в </w:t>
      </w:r>
      <w:r w:rsidRPr="00CA46B6">
        <w:rPr>
          <w:rFonts w:ascii="Arial" w:hAnsi="Arial" w:cs="Arial"/>
          <w:bCs/>
          <w:sz w:val="22"/>
          <w:szCs w:val="22"/>
        </w:rPr>
        <w:t>органах службы занятости населения</w:t>
      </w:r>
      <w:r w:rsidRPr="00CA46B6">
        <w:rPr>
          <w:rFonts w:ascii="Arial" w:hAnsi="Arial" w:cs="Arial"/>
          <w:sz w:val="22"/>
          <w:szCs w:val="22"/>
        </w:rPr>
        <w:t xml:space="preserve"> по месту жительства в целях поиска подходящей работы, ищущие работу и готовые приступить к ней. Информация о численности безработных, получивших официальный статус в органах службы занятости населения, разрабатывается Министерством труда и социальной защиты Рязанской области.</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color w:val="000000"/>
          <w:sz w:val="22"/>
          <w:szCs w:val="22"/>
        </w:rPr>
        <w:t>Уровень зарегистрированной безработицы</w:t>
      </w:r>
      <w:r w:rsidRPr="00CA46B6">
        <w:rPr>
          <w:rFonts w:ascii="Arial" w:hAnsi="Arial" w:cs="Arial"/>
          <w:color w:val="000000"/>
          <w:sz w:val="22"/>
          <w:szCs w:val="22"/>
        </w:rPr>
        <w:t xml:space="preserve"> </w:t>
      </w:r>
      <w:r w:rsidRPr="00CA46B6">
        <w:rPr>
          <w:rFonts w:ascii="Arial" w:hAnsi="Arial" w:cs="Arial"/>
          <w:sz w:val="22"/>
          <w:szCs w:val="22"/>
        </w:rPr>
        <w:t>–</w:t>
      </w:r>
      <w:r w:rsidRPr="00CA46B6">
        <w:rPr>
          <w:rFonts w:ascii="Arial" w:hAnsi="Arial" w:cs="Arial"/>
          <w:color w:val="000000"/>
          <w:sz w:val="22"/>
          <w:szCs w:val="22"/>
        </w:rPr>
        <w:t xml:space="preserve"> отношение численности безработных, зарегистрированных в </w:t>
      </w:r>
      <w:r w:rsidRPr="00CA46B6">
        <w:rPr>
          <w:rFonts w:ascii="Arial" w:hAnsi="Arial" w:cs="Arial"/>
          <w:bCs/>
          <w:color w:val="000000"/>
          <w:sz w:val="22"/>
          <w:szCs w:val="22"/>
        </w:rPr>
        <w:t>органах службы занятости населения (по данным Министерства труда и социальной защиты Рязанской области),</w:t>
      </w:r>
      <w:r w:rsidRPr="00CA46B6">
        <w:rPr>
          <w:rFonts w:ascii="Arial" w:hAnsi="Arial" w:cs="Arial"/>
          <w:color w:val="000000"/>
          <w:sz w:val="22"/>
          <w:szCs w:val="22"/>
        </w:rPr>
        <w:t xml:space="preserve"> к численности рабочей силы в возрасте 15-72 лет, в процентах. При исчислении уровня зарегистрированной безработицы по субъектам Российской Федерации используется численность рабочей силы в возрасте 15-72 лет в среднем за предыдущий год.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Число замещенных рабочих мест</w:t>
      </w:r>
      <w:r w:rsidRPr="00CA46B6">
        <w:rPr>
          <w:rFonts w:ascii="Arial" w:hAnsi="Arial" w:cs="Arial"/>
          <w:sz w:val="22"/>
          <w:szCs w:val="22"/>
        </w:rPr>
        <w:t xml:space="preserve"> в организациях определяется как суммарное количество среднесписочной численности работников, средней численности внешних совместителей и средней численности работников, выполнявших работы по договорам гражданско-правового характера. Число замещенных рабочих мест определяется без учета внутреннего совместительства.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Прием и увольнение работников</w:t>
      </w:r>
      <w:r w:rsidRPr="00CA46B6">
        <w:rPr>
          <w:rFonts w:ascii="Arial" w:hAnsi="Arial" w:cs="Arial"/>
          <w:sz w:val="22"/>
          <w:szCs w:val="22"/>
        </w:rPr>
        <w:t xml:space="preserve"> (публикуется в </w:t>
      </w:r>
      <w:r w:rsidR="003116CC" w:rsidRPr="00CA46B6">
        <w:rPr>
          <w:rFonts w:ascii="Arial" w:hAnsi="Arial" w:cs="Arial"/>
          <w:sz w:val="22"/>
          <w:szCs w:val="22"/>
        </w:rPr>
        <w:t>докладах за январь, январь-апрель, январь-июль, январь-октябрь</w:t>
      </w:r>
      <w:r w:rsidR="0093189E" w:rsidRPr="00CA46B6">
        <w:rPr>
          <w:rFonts w:ascii="Arial" w:hAnsi="Arial" w:cs="Arial"/>
          <w:sz w:val="22"/>
          <w:szCs w:val="22"/>
        </w:rPr>
        <w:t>)</w:t>
      </w:r>
      <w:r w:rsidRPr="00CA46B6">
        <w:rPr>
          <w:rFonts w:ascii="Arial" w:hAnsi="Arial" w:cs="Arial"/>
          <w:sz w:val="22"/>
          <w:szCs w:val="22"/>
        </w:rPr>
        <w:t>.</w:t>
      </w:r>
    </w:p>
    <w:p w:rsidR="003D1856" w:rsidRPr="00CA46B6" w:rsidRDefault="003D1856" w:rsidP="005029AC">
      <w:pPr>
        <w:pStyle w:val="a5"/>
        <w:widowControl/>
        <w:spacing w:line="240" w:lineRule="auto"/>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принятых работнико</w:t>
      </w:r>
      <w:r w:rsidRPr="00CA46B6">
        <w:rPr>
          <w:rFonts w:ascii="Arial" w:hAnsi="Arial" w:cs="Arial"/>
          <w:b/>
          <w:sz w:val="22"/>
          <w:szCs w:val="22"/>
        </w:rPr>
        <w:t>в</w:t>
      </w:r>
      <w:r w:rsidRPr="00CA46B6">
        <w:rPr>
          <w:rFonts w:ascii="Arial" w:hAnsi="Arial" w:cs="Arial"/>
          <w:sz w:val="22"/>
          <w:szCs w:val="22"/>
        </w:rPr>
        <w:t xml:space="preserve"> включаются лица, зачисленные в отчетном периоде в организацию приказом (распоряжением) о приеме на работу, переведенные на работу из другой организации.</w:t>
      </w:r>
    </w:p>
    <w:p w:rsidR="003D1856" w:rsidRPr="00CA46B6" w:rsidRDefault="003D1856" w:rsidP="005029AC">
      <w:pPr>
        <w:pStyle w:val="a5"/>
        <w:widowControl/>
        <w:spacing w:line="240" w:lineRule="auto"/>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работников, принятых на дополнительно введенные (созданные) рабочие места,</w:t>
      </w:r>
      <w:r w:rsidRPr="00CA46B6">
        <w:rPr>
          <w:rFonts w:ascii="Arial" w:hAnsi="Arial" w:cs="Arial"/>
          <w:sz w:val="22"/>
          <w:szCs w:val="22"/>
        </w:rPr>
        <w:t xml:space="preserve"> включаются работники, принятые в отчетном периоде на вновь образованные рабочие места в результате расширения, реорганизации производства, увеличения сменности работы и т.п.</w:t>
      </w:r>
    </w:p>
    <w:p w:rsidR="003D1856" w:rsidRPr="00CA46B6" w:rsidRDefault="003D1856" w:rsidP="005029AC">
      <w:pPr>
        <w:pStyle w:val="a5"/>
        <w:widowControl/>
        <w:spacing w:line="240" w:lineRule="auto"/>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выбывших работников</w:t>
      </w:r>
      <w:r w:rsidRPr="00CA46B6">
        <w:rPr>
          <w:rFonts w:ascii="Arial" w:hAnsi="Arial" w:cs="Arial"/>
          <w:sz w:val="22"/>
          <w:szCs w:val="22"/>
        </w:rPr>
        <w:t xml:space="preserve"> включаются все работники, оставившие работу в организации независимо от оснований (расторжение трудового договора по инициативе работника, инициативе работодателя, истечение срока трудового договора, по соглашению сторон, призыв или поступление на военную службу и др.), уход или перевод которых оформлен приказом (распоряжением).</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bCs/>
          <w:sz w:val="22"/>
          <w:szCs w:val="22"/>
        </w:rPr>
        <w:t>Численность требуемых работников на вакантные рабочие места</w:t>
      </w:r>
      <w:r w:rsidRPr="00CA46B6">
        <w:rPr>
          <w:rFonts w:ascii="Arial" w:hAnsi="Arial" w:cs="Arial"/>
          <w:sz w:val="22"/>
          <w:szCs w:val="22"/>
        </w:rPr>
        <w:t xml:space="preserve"> – количество работников, которых предполагается принять на вакантные рабочие места.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работников, работавших неполное рабочее время по инициативе работодателя,</w:t>
      </w:r>
      <w:r w:rsidRPr="00CA46B6">
        <w:rPr>
          <w:rFonts w:ascii="Arial" w:hAnsi="Arial" w:cs="Arial"/>
          <w:sz w:val="22"/>
          <w:szCs w:val="22"/>
        </w:rPr>
        <w:t xml:space="preserve"> включаются работники списочного состава, работавшие в отчетном периоде неполное рабочее время по инициативе работодателя в соответствии со статьей 74 Трудового кодекса Российской Федерации.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работников, работавших неполное рабочее время по соглашению между работником и работодателем,</w:t>
      </w:r>
      <w:r w:rsidRPr="00CA46B6">
        <w:rPr>
          <w:rFonts w:ascii="Arial" w:hAnsi="Arial" w:cs="Arial"/>
          <w:sz w:val="22"/>
          <w:szCs w:val="22"/>
        </w:rPr>
        <w:t xml:space="preserve"> включаются работники (в целых единицах), работавшие в режиме неполного рабочего дня (недели), установленного </w:t>
      </w:r>
      <w:r w:rsidRPr="00CA46B6">
        <w:rPr>
          <w:rFonts w:ascii="Arial" w:hAnsi="Arial" w:cs="Arial"/>
          <w:sz w:val="22"/>
          <w:szCs w:val="22"/>
        </w:rPr>
        <w:lastRenderedPageBreak/>
        <w:t xml:space="preserve">как при приеме на работу, так и переведенные с согласия работника на неполное рабочее время. </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sz w:val="22"/>
          <w:szCs w:val="22"/>
        </w:rPr>
        <w:t xml:space="preserve">В </w:t>
      </w:r>
      <w:r w:rsidRPr="00CA46B6">
        <w:rPr>
          <w:rFonts w:ascii="Arial" w:hAnsi="Arial" w:cs="Arial"/>
          <w:b/>
          <w:bCs/>
          <w:sz w:val="22"/>
          <w:szCs w:val="22"/>
        </w:rPr>
        <w:t xml:space="preserve">численность работников, находившихся в простое по вине работодателя и по причинам, не зависящим от работодателя и работника, </w:t>
      </w:r>
      <w:r w:rsidRPr="00CA46B6">
        <w:rPr>
          <w:rFonts w:ascii="Arial" w:hAnsi="Arial" w:cs="Arial"/>
          <w:sz w:val="22"/>
          <w:szCs w:val="22"/>
        </w:rPr>
        <w:t>включаются работники, находившиеся в простое полный рабочий день по причинам: не обеспечение работников оборудованием, инструментами, технической документацией, объемом работ, необходимыми для исполнения трудовых обязанностей, невыполнение договорных обязательств перед партнерами, приведшее к срыву графика поставки сырья или вывоза готовой продукции со склада, обстоятельства непредвиденного характера, например, аварии или перебои в подаче воды, тепла, электроэнергии, стихийные бедствия и т.п.</w:t>
      </w:r>
      <w:r w:rsidRPr="00CA46B6">
        <w:rPr>
          <w:rFonts w:ascii="Arial" w:hAnsi="Arial" w:cs="Arial"/>
          <w:color w:val="FF0000"/>
          <w:sz w:val="22"/>
          <w:szCs w:val="22"/>
        </w:rPr>
        <w:t xml:space="preserve">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 xml:space="preserve">численность работников, которым были предоставлены отпуска без сохранения заработной платы по заявлению работника, </w:t>
      </w:r>
      <w:r w:rsidRPr="00CA46B6">
        <w:rPr>
          <w:rFonts w:ascii="Arial" w:hAnsi="Arial" w:cs="Arial"/>
          <w:sz w:val="22"/>
          <w:szCs w:val="22"/>
        </w:rPr>
        <w:t>включаются работники, которым были предоставлены по их письменному заявлению отпуска без сохранения заработной платы по семейным обстоятельствам или другим уважительным причинам, в случаях, предусмотренных законодательством Российской Федерации, а также неоплаченные отпуска по инициативе работодателя</w:t>
      </w:r>
      <w:r w:rsidRPr="00CA46B6">
        <w:rPr>
          <w:rFonts w:ascii="Arial" w:hAnsi="Arial" w:cs="Arial"/>
          <w:color w:val="000000"/>
          <w:sz w:val="22"/>
          <w:szCs w:val="22"/>
        </w:rPr>
        <w:t>.</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Нагрузка незанятого населения на 100 заявленных вакансий</w:t>
      </w:r>
      <w:r w:rsidRPr="00CA46B6">
        <w:rPr>
          <w:rFonts w:ascii="Arial" w:hAnsi="Arial" w:cs="Arial"/>
          <w:sz w:val="22"/>
          <w:szCs w:val="22"/>
        </w:rPr>
        <w:t xml:space="preserve"> рассчитывается как отношение численности лиц, не занятых трудовой деятельностью, состоящих на учете в органах службы занятости населения (по данным Министерства труда и социальной защиты населения), к 100 вакансиям, сообщенным работодателями в эти органы.</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Заявленная работодателями потребность в работниках</w:t>
      </w:r>
      <w:r w:rsidRPr="00CA46B6">
        <w:rPr>
          <w:rFonts w:ascii="Arial" w:hAnsi="Arial" w:cs="Arial"/>
          <w:sz w:val="22"/>
          <w:szCs w:val="22"/>
        </w:rPr>
        <w:t xml:space="preserve"> – число вакансий (требуемых работников), сообщенных работодателями в органы службы занятости населения.</w:t>
      </w:r>
    </w:p>
    <w:p w:rsidR="003D1856" w:rsidRPr="00CA46B6" w:rsidRDefault="003D1856" w:rsidP="005029AC">
      <w:pPr>
        <w:pStyle w:val="4"/>
        <w:widowControl w:val="0"/>
        <w:spacing w:before="120"/>
        <w:ind w:firstLine="0"/>
        <w:rPr>
          <w:rFonts w:ascii="Arial" w:hAnsi="Arial" w:cs="Arial"/>
          <w:szCs w:val="28"/>
        </w:rPr>
      </w:pPr>
      <w:r w:rsidRPr="00CA46B6">
        <w:rPr>
          <w:rFonts w:ascii="Arial" w:hAnsi="Arial" w:cs="Arial"/>
          <w:szCs w:val="28"/>
        </w:rPr>
        <w:t>Демография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Естественное движение населения</w:t>
      </w:r>
      <w:r w:rsidRPr="00CA46B6">
        <w:rPr>
          <w:rFonts w:ascii="Arial" w:hAnsi="Arial" w:cs="Arial"/>
          <w:sz w:val="22"/>
          <w:szCs w:val="22"/>
        </w:rPr>
        <w:t xml:space="preserve"> – обобщенное название совокупности рождений и смертей, изменяющих численность населения так называемым естественным путем. К естественному движению населения относят также браки и разводы, хотя они не меняют численность населения, но учитываются в том же порядке, что и рождения и смерти.</w:t>
      </w:r>
    </w:p>
    <w:p w:rsidR="003D1856" w:rsidRPr="00CA46B6" w:rsidRDefault="003D1856" w:rsidP="005029AC">
      <w:pPr>
        <w:tabs>
          <w:tab w:val="left" w:pos="1843"/>
        </w:tabs>
        <w:spacing w:before="120"/>
        <w:ind w:firstLine="709"/>
        <w:rPr>
          <w:rFonts w:ascii="Arial" w:hAnsi="Arial" w:cs="Arial"/>
          <w:color w:val="000000"/>
          <w:sz w:val="22"/>
          <w:szCs w:val="22"/>
        </w:rPr>
      </w:pPr>
      <w:r w:rsidRPr="00CA46B6">
        <w:rPr>
          <w:rFonts w:ascii="Arial" w:hAnsi="Arial" w:cs="Arial"/>
          <w:sz w:val="22"/>
          <w:szCs w:val="22"/>
        </w:rPr>
        <w:t xml:space="preserve">Сведения о </w:t>
      </w:r>
      <w:r w:rsidRPr="00CA46B6">
        <w:rPr>
          <w:rFonts w:ascii="Arial" w:hAnsi="Arial" w:cs="Arial"/>
          <w:b/>
          <w:sz w:val="22"/>
          <w:szCs w:val="22"/>
        </w:rPr>
        <w:t>рождениях, смертях, браках, разводах</w:t>
      </w:r>
      <w:r w:rsidRPr="00CA46B6">
        <w:rPr>
          <w:rFonts w:ascii="Arial" w:hAnsi="Arial" w:cs="Arial"/>
          <w:sz w:val="22"/>
          <w:szCs w:val="22"/>
        </w:rPr>
        <w:t xml:space="preserve"> получаются на основании статистической разработки данных, содержащихся в записях актов о рождении, смерти, заключении и рас</w:t>
      </w:r>
      <w:r w:rsidRPr="00CA46B6">
        <w:rPr>
          <w:rFonts w:ascii="Arial" w:hAnsi="Arial" w:cs="Arial"/>
          <w:color w:val="000000"/>
          <w:sz w:val="22"/>
          <w:szCs w:val="22"/>
        </w:rPr>
        <w:t>торжении брака, составляемых органами записи актов гражданского состояния (далее ЗАГС). В число родившихся включены только родившиеся живыми.</w:t>
      </w:r>
    </w:p>
    <w:p w:rsidR="003D1856" w:rsidRPr="00CA46B6" w:rsidRDefault="003D1856" w:rsidP="005029AC">
      <w:pPr>
        <w:tabs>
          <w:tab w:val="left" w:pos="1843"/>
        </w:tabs>
        <w:spacing w:before="120"/>
        <w:ind w:firstLine="709"/>
        <w:rPr>
          <w:rFonts w:ascii="Arial" w:hAnsi="Arial" w:cs="Arial"/>
          <w:color w:val="000000"/>
          <w:sz w:val="22"/>
          <w:szCs w:val="22"/>
        </w:rPr>
      </w:pPr>
      <w:r w:rsidRPr="00CA46B6">
        <w:rPr>
          <w:rFonts w:ascii="Arial" w:hAnsi="Arial" w:cs="Arial"/>
          <w:color w:val="000000"/>
          <w:sz w:val="22"/>
          <w:szCs w:val="22"/>
        </w:rPr>
        <w:t>Предварительные (помесячные) данные разрабатываются по дате регистрации события в органах ЗАГС без учета окончательных медицинских свидетельств о смерти. Годовые данные разрабатываются по дате свершения события с учетом запоздалой регистрации и окончательных медицинских свидетельств о смерти.</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Источником информации о </w:t>
      </w:r>
      <w:r w:rsidRPr="00CA46B6">
        <w:rPr>
          <w:rFonts w:ascii="Arial" w:hAnsi="Arial" w:cs="Arial"/>
          <w:b/>
          <w:sz w:val="22"/>
          <w:szCs w:val="22"/>
        </w:rPr>
        <w:t>причинах смерти</w:t>
      </w:r>
      <w:r w:rsidRPr="00CA46B6">
        <w:rPr>
          <w:rFonts w:ascii="Arial" w:hAnsi="Arial" w:cs="Arial"/>
          <w:sz w:val="22"/>
          <w:szCs w:val="22"/>
        </w:rPr>
        <w:t xml:space="preserve"> являются записи в медицинских свидетельствах о смерти, составляемых врачом относительно заболевания, несчастного случая, убийства, самоубийства и другого внешнего воздействия, послужившего причиной смерти, а также записи актов о смерти.</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С 1 января 2011 г. разработка записей актов о смерти по причинам производится применительно к Краткой номенклатуре причин смерти 2010, основанной на Международной статистической классификации болезней и проблем, связанных со здоровьем, Х пересмотра (1989 г.).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соответствии со статьей 13.1 Федерального закона «Об актах гражданского состояния» от 15.11.1997 № 143-ФЗ с 1 октября 2018 г. был введен в действие Единый государственный реестр записей актов гражданского состояния (ЕГР ЗАГС). Согласно статье 13.2 указанного Федерального закона Росстат с 1 октября 2018 г. получает </w:t>
      </w:r>
      <w:r w:rsidRPr="00CA46B6">
        <w:rPr>
          <w:rFonts w:ascii="Arial" w:hAnsi="Arial" w:cs="Arial"/>
          <w:sz w:val="22"/>
          <w:szCs w:val="22"/>
        </w:rPr>
        <w:lastRenderedPageBreak/>
        <w:t>сведения о государственной регистрации рождений, смертей, заключения и расторжения браков из данного реестра.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Общие коэффициенты рождаемости и смертности</w:t>
      </w:r>
      <w:r w:rsidRPr="00CA46B6">
        <w:rPr>
          <w:rFonts w:ascii="Arial" w:hAnsi="Arial" w:cs="Arial"/>
          <w:sz w:val="22"/>
          <w:szCs w:val="22"/>
        </w:rPr>
        <w:t xml:space="preserve"> – отношение соответственно числа родившихся (живыми) и числа умерших к среднегодовой численности населения. Исчисляются на 1000 человек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Коэффициент естественного прироста</w:t>
      </w:r>
      <w:r w:rsidRPr="00CA46B6">
        <w:rPr>
          <w:rFonts w:ascii="Arial" w:hAnsi="Arial" w:cs="Arial"/>
          <w:sz w:val="22"/>
          <w:szCs w:val="22"/>
        </w:rPr>
        <w:t xml:space="preserve"> – разность общих коэффициентов рождаемости и смертности.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Общие коэффициенты брачности и разводимости</w:t>
      </w:r>
      <w:r w:rsidRPr="00CA46B6">
        <w:rPr>
          <w:rFonts w:ascii="Arial" w:hAnsi="Arial" w:cs="Arial"/>
          <w:sz w:val="22"/>
          <w:szCs w:val="22"/>
        </w:rPr>
        <w:t xml:space="preserve"> – отношение числа зарегистрированных браков и разводов к среднегодовой численности населения. Исчисляются на 1000 человек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Коэффициенты смертности по причинам смерти</w:t>
      </w:r>
      <w:r w:rsidRPr="00CA46B6">
        <w:rPr>
          <w:rFonts w:ascii="Arial" w:hAnsi="Arial" w:cs="Arial"/>
          <w:sz w:val="22"/>
          <w:szCs w:val="22"/>
        </w:rPr>
        <w:t xml:space="preserve"> – отношение числа умерших от указанных причин смерти к среднегодовой численности населения. Исчисляются на 100000 человек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Коэффициент младенческой смертности</w:t>
      </w:r>
      <w:r w:rsidRPr="00CA46B6">
        <w:rPr>
          <w:rFonts w:ascii="Arial" w:hAnsi="Arial" w:cs="Arial"/>
          <w:sz w:val="22"/>
          <w:szCs w:val="22"/>
        </w:rPr>
        <w:t xml:space="preserve"> исчисляется как сумма двух составляющих, первая из которых – отношение числа умерших в возрасте до одного года из поколения родившихся в том году, для которого вычисляется коэффициент, к общему числу родившихся в том же году; а вторая – отношение числа умерших в возрасте до одного года из поколения родившихся в предыдущем году, к общему числу родившихся в предыдущем году. Исчисляется на 1000 родившихся живыми.</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Все коэффициенты приведены в пересчете на год.</w:t>
      </w:r>
    </w:p>
    <w:p w:rsidR="003D1856" w:rsidRPr="005029AC" w:rsidRDefault="003D1856" w:rsidP="005029AC">
      <w:pPr>
        <w:spacing w:before="120"/>
        <w:ind w:firstLine="709"/>
        <w:rPr>
          <w:rFonts w:ascii="Arial" w:hAnsi="Arial" w:cs="Arial"/>
          <w:sz w:val="22"/>
          <w:szCs w:val="22"/>
        </w:rPr>
      </w:pPr>
      <w:r w:rsidRPr="00CA46B6">
        <w:rPr>
          <w:rFonts w:ascii="Arial" w:hAnsi="Arial" w:cs="Arial"/>
          <w:sz w:val="22"/>
          <w:szCs w:val="22"/>
        </w:rPr>
        <w:t xml:space="preserve">Данные о </w:t>
      </w:r>
      <w:r w:rsidRPr="00CA46B6">
        <w:rPr>
          <w:rFonts w:ascii="Arial" w:hAnsi="Arial" w:cs="Arial"/>
          <w:b/>
          <w:sz w:val="22"/>
          <w:szCs w:val="22"/>
        </w:rPr>
        <w:t>миграции</w:t>
      </w:r>
      <w:r w:rsidRPr="00CA46B6">
        <w:rPr>
          <w:rFonts w:ascii="Arial" w:hAnsi="Arial" w:cs="Arial"/>
          <w:sz w:val="22"/>
          <w:szCs w:val="22"/>
        </w:rPr>
        <w:t xml:space="preserve"> получены в результате разработки поступающих от территориальных органов Министерства внутренних дел Российской Федерации форм федерального статистического наблюдения (с 2019 г.), которые составляются при регистрации и снятии с регистрационного учета населения по месту жительства и при регистрации по месту пребывания на срок 9 месяцев и более. Формирование числа выбывших осуществляется автоматически в процессе электронной обработки данных о миграции населения при перемещениях в пределах Российской Федерации, а также по истечении срока пребывания у мигрантов независимо от места прежнего жительства.</w:t>
      </w:r>
    </w:p>
    <w:sectPr w:rsidR="003D1856" w:rsidRPr="005029AC" w:rsidSect="00241D24">
      <w:headerReference w:type="even" r:id="rId9"/>
      <w:footerReference w:type="even" r:id="rId10"/>
      <w:pgSz w:w="11906" w:h="16838" w:code="9"/>
      <w:pgMar w:top="1134" w:right="1418" w:bottom="1134" w:left="1418" w:header="567" w:footer="1418" w:gutter="0"/>
      <w:pgNumType w:start="89"/>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6C3" w:rsidRDefault="008746C3">
      <w:r>
        <w:separator/>
      </w:r>
    </w:p>
  </w:endnote>
  <w:endnote w:type="continuationSeparator" w:id="0">
    <w:p w:rsidR="008746C3" w:rsidRDefault="0087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9AC" w:rsidRDefault="005029AC">
    <w:pPr>
      <w:pStyle w:val="a9"/>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138</w:t>
    </w:r>
    <w:r>
      <w:rPr>
        <w:rStyle w:val="a6"/>
      </w:rPr>
      <w:fldChar w:fldCharType="end"/>
    </w:r>
  </w:p>
  <w:p w:rsidR="005029AC" w:rsidRDefault="005029A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6C3" w:rsidRDefault="008746C3">
      <w:r>
        <w:separator/>
      </w:r>
    </w:p>
  </w:footnote>
  <w:footnote w:type="continuationSeparator" w:id="0">
    <w:p w:rsidR="008746C3" w:rsidRDefault="00874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9AC" w:rsidRDefault="005029AC">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138</w:t>
    </w:r>
    <w:r>
      <w:rPr>
        <w:rStyle w:val="a6"/>
      </w:rPr>
      <w:fldChar w:fldCharType="end"/>
    </w:r>
  </w:p>
  <w:p w:rsidR="005029AC" w:rsidRDefault="005029A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B1CFA"/>
    <w:multiLevelType w:val="singleLevel"/>
    <w:tmpl w:val="9F307674"/>
    <w:lvl w:ilvl="0">
      <w:numFmt w:val="bullet"/>
      <w:lvlText w:val="-"/>
      <w:lvlJc w:val="left"/>
      <w:pPr>
        <w:tabs>
          <w:tab w:val="num" w:pos="1211"/>
        </w:tabs>
        <w:ind w:left="1211" w:hanging="360"/>
      </w:pPr>
      <w:rPr>
        <w:rFonts w:hint="default"/>
      </w:rPr>
    </w:lvl>
  </w:abstractNum>
  <w:abstractNum w:abstractNumId="1">
    <w:nsid w:val="3DAC28DD"/>
    <w:multiLevelType w:val="singleLevel"/>
    <w:tmpl w:val="9F307674"/>
    <w:lvl w:ilvl="0">
      <w:numFmt w:val="bullet"/>
      <w:lvlText w:val="-"/>
      <w:lvlJc w:val="left"/>
      <w:pPr>
        <w:tabs>
          <w:tab w:val="num" w:pos="1211"/>
        </w:tabs>
        <w:ind w:left="1211" w:hanging="360"/>
      </w:pPr>
      <w:rPr>
        <w:rFonts w:hint="default"/>
      </w:rPr>
    </w:lvl>
  </w:abstractNum>
  <w:abstractNum w:abstractNumId="2">
    <w:nsid w:val="506D2A3E"/>
    <w:multiLevelType w:val="multilevel"/>
    <w:tmpl w:val="A1CE0380"/>
    <w:lvl w:ilvl="0">
      <w:start w:val="27"/>
      <w:numFmt w:val="decimal"/>
      <w:lvlText w:val="%1"/>
      <w:lvlJc w:val="left"/>
      <w:pPr>
        <w:tabs>
          <w:tab w:val="num" w:pos="1335"/>
        </w:tabs>
        <w:ind w:left="1335" w:hanging="1335"/>
      </w:pPr>
      <w:rPr>
        <w:rFonts w:hint="default"/>
      </w:rPr>
    </w:lvl>
    <w:lvl w:ilvl="1">
      <w:start w:val="8"/>
      <w:numFmt w:val="decimalZero"/>
      <w:lvlText w:val="%1.%2"/>
      <w:lvlJc w:val="left"/>
      <w:pPr>
        <w:tabs>
          <w:tab w:val="num" w:pos="1335"/>
        </w:tabs>
        <w:ind w:left="1335" w:hanging="1335"/>
      </w:pPr>
      <w:rPr>
        <w:rFonts w:hint="default"/>
      </w:rPr>
    </w:lvl>
    <w:lvl w:ilvl="2">
      <w:start w:val="2"/>
      <w:numFmt w:val="decimalZero"/>
      <w:lvlText w:val="%1.%2.%3"/>
      <w:lvlJc w:val="left"/>
      <w:pPr>
        <w:tabs>
          <w:tab w:val="num" w:pos="1335"/>
        </w:tabs>
        <w:ind w:left="1335" w:hanging="1335"/>
      </w:pPr>
      <w:rPr>
        <w:rFonts w:hint="default"/>
      </w:rPr>
    </w:lvl>
    <w:lvl w:ilvl="3">
      <w:start w:val="1"/>
      <w:numFmt w:val="decimal"/>
      <w:lvlText w:val="%1.%2.%3.%4"/>
      <w:lvlJc w:val="left"/>
      <w:pPr>
        <w:tabs>
          <w:tab w:val="num" w:pos="1335"/>
        </w:tabs>
        <w:ind w:left="1335" w:hanging="1335"/>
      </w:pPr>
      <w:rPr>
        <w:rFonts w:hint="default"/>
      </w:rPr>
    </w:lvl>
    <w:lvl w:ilvl="4">
      <w:start w:val="1"/>
      <w:numFmt w:val="decimal"/>
      <w:lvlText w:val="%1.%2.%3.%4.%5"/>
      <w:lvlJc w:val="left"/>
      <w:pPr>
        <w:tabs>
          <w:tab w:val="num" w:pos="1335"/>
        </w:tabs>
        <w:ind w:left="1335" w:hanging="133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55055EF7"/>
    <w:multiLevelType w:val="hybridMultilevel"/>
    <w:tmpl w:val="342603BA"/>
    <w:lvl w:ilvl="0" w:tplc="945E6FDE">
      <w:start w:val="1"/>
      <w:numFmt w:val="decimal"/>
      <w:pStyle w:val="a"/>
      <w:lvlText w:val="%1)"/>
      <w:lvlJc w:val="left"/>
      <w:pPr>
        <w:tabs>
          <w:tab w:val="num" w:pos="1633"/>
        </w:tabs>
        <w:ind w:left="1633" w:hanging="924"/>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6D88578E"/>
    <w:multiLevelType w:val="singleLevel"/>
    <w:tmpl w:val="9F307674"/>
    <w:lvl w:ilvl="0">
      <w:numFmt w:val="bullet"/>
      <w:lvlText w:val="-"/>
      <w:lvlJc w:val="left"/>
      <w:pPr>
        <w:tabs>
          <w:tab w:val="num" w:pos="1211"/>
        </w:tabs>
        <w:ind w:left="1211" w:hanging="360"/>
      </w:pPr>
      <w:rPr>
        <w:rFont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7157"/>
    <w:rsid w:val="0000110B"/>
    <w:rsid w:val="0000273B"/>
    <w:rsid w:val="00003182"/>
    <w:rsid w:val="00004C13"/>
    <w:rsid w:val="0000662C"/>
    <w:rsid w:val="00010CA6"/>
    <w:rsid w:val="00012CFA"/>
    <w:rsid w:val="00013E72"/>
    <w:rsid w:val="00014A6C"/>
    <w:rsid w:val="0002295B"/>
    <w:rsid w:val="00036024"/>
    <w:rsid w:val="00041F76"/>
    <w:rsid w:val="00042BFD"/>
    <w:rsid w:val="000436B8"/>
    <w:rsid w:val="00044016"/>
    <w:rsid w:val="000454C9"/>
    <w:rsid w:val="00047F7E"/>
    <w:rsid w:val="00052155"/>
    <w:rsid w:val="00052826"/>
    <w:rsid w:val="00057AA1"/>
    <w:rsid w:val="00060F72"/>
    <w:rsid w:val="00061BBD"/>
    <w:rsid w:val="000638AF"/>
    <w:rsid w:val="0006708F"/>
    <w:rsid w:val="00077DB8"/>
    <w:rsid w:val="000854C3"/>
    <w:rsid w:val="000938A5"/>
    <w:rsid w:val="000A0370"/>
    <w:rsid w:val="000B0AE1"/>
    <w:rsid w:val="000B1515"/>
    <w:rsid w:val="000B1740"/>
    <w:rsid w:val="000B1BB7"/>
    <w:rsid w:val="000B21D5"/>
    <w:rsid w:val="000B6732"/>
    <w:rsid w:val="000B76E2"/>
    <w:rsid w:val="000C0A25"/>
    <w:rsid w:val="000D3960"/>
    <w:rsid w:val="000D4481"/>
    <w:rsid w:val="000D4E3C"/>
    <w:rsid w:val="000D61A0"/>
    <w:rsid w:val="000E2618"/>
    <w:rsid w:val="000E34FA"/>
    <w:rsid w:val="000E451B"/>
    <w:rsid w:val="000E5333"/>
    <w:rsid w:val="000E6FF8"/>
    <w:rsid w:val="000F0D5C"/>
    <w:rsid w:val="000F0F87"/>
    <w:rsid w:val="0010327E"/>
    <w:rsid w:val="0010366A"/>
    <w:rsid w:val="00112D58"/>
    <w:rsid w:val="00114375"/>
    <w:rsid w:val="001150E9"/>
    <w:rsid w:val="00115661"/>
    <w:rsid w:val="00115EC3"/>
    <w:rsid w:val="00122443"/>
    <w:rsid w:val="00124047"/>
    <w:rsid w:val="001312F5"/>
    <w:rsid w:val="00133B48"/>
    <w:rsid w:val="00141237"/>
    <w:rsid w:val="00142B6B"/>
    <w:rsid w:val="001451F8"/>
    <w:rsid w:val="001461FF"/>
    <w:rsid w:val="00147E23"/>
    <w:rsid w:val="00150440"/>
    <w:rsid w:val="00160CAC"/>
    <w:rsid w:val="00161F22"/>
    <w:rsid w:val="00164856"/>
    <w:rsid w:val="001658F7"/>
    <w:rsid w:val="00165F20"/>
    <w:rsid w:val="00170931"/>
    <w:rsid w:val="00172B37"/>
    <w:rsid w:val="0017493C"/>
    <w:rsid w:val="00180FBF"/>
    <w:rsid w:val="0018394A"/>
    <w:rsid w:val="00183DCC"/>
    <w:rsid w:val="00185632"/>
    <w:rsid w:val="00187478"/>
    <w:rsid w:val="00194871"/>
    <w:rsid w:val="001A15C5"/>
    <w:rsid w:val="001A3835"/>
    <w:rsid w:val="001B3F3E"/>
    <w:rsid w:val="001B421E"/>
    <w:rsid w:val="001B4CB8"/>
    <w:rsid w:val="001B6B45"/>
    <w:rsid w:val="001C2E20"/>
    <w:rsid w:val="001D37F3"/>
    <w:rsid w:val="001D3A17"/>
    <w:rsid w:val="001D4C3E"/>
    <w:rsid w:val="001E341E"/>
    <w:rsid w:val="001E4A23"/>
    <w:rsid w:val="001E4F2F"/>
    <w:rsid w:val="001F4C0F"/>
    <w:rsid w:val="001F614B"/>
    <w:rsid w:val="0020280B"/>
    <w:rsid w:val="00202D63"/>
    <w:rsid w:val="00203CD8"/>
    <w:rsid w:val="00220975"/>
    <w:rsid w:val="00223C2B"/>
    <w:rsid w:val="002252EF"/>
    <w:rsid w:val="00226496"/>
    <w:rsid w:val="002349FB"/>
    <w:rsid w:val="00237CF0"/>
    <w:rsid w:val="00241CFD"/>
    <w:rsid w:val="00241D24"/>
    <w:rsid w:val="00243A24"/>
    <w:rsid w:val="00243B3B"/>
    <w:rsid w:val="00243E8B"/>
    <w:rsid w:val="0024504E"/>
    <w:rsid w:val="0025190A"/>
    <w:rsid w:val="00255615"/>
    <w:rsid w:val="00256BB9"/>
    <w:rsid w:val="00263416"/>
    <w:rsid w:val="0026468C"/>
    <w:rsid w:val="00276492"/>
    <w:rsid w:val="0028379B"/>
    <w:rsid w:val="00285008"/>
    <w:rsid w:val="002879EC"/>
    <w:rsid w:val="00290F9E"/>
    <w:rsid w:val="00291011"/>
    <w:rsid w:val="00292138"/>
    <w:rsid w:val="0029578E"/>
    <w:rsid w:val="00295B61"/>
    <w:rsid w:val="0029759A"/>
    <w:rsid w:val="002A0173"/>
    <w:rsid w:val="002A3A34"/>
    <w:rsid w:val="002A3D97"/>
    <w:rsid w:val="002A4014"/>
    <w:rsid w:val="002B1790"/>
    <w:rsid w:val="002B2D6D"/>
    <w:rsid w:val="002B339C"/>
    <w:rsid w:val="002B3804"/>
    <w:rsid w:val="002C2145"/>
    <w:rsid w:val="002C454C"/>
    <w:rsid w:val="002C4841"/>
    <w:rsid w:val="002C6808"/>
    <w:rsid w:val="002D4627"/>
    <w:rsid w:val="002D7542"/>
    <w:rsid w:val="002D788A"/>
    <w:rsid w:val="002E445E"/>
    <w:rsid w:val="002E5CFB"/>
    <w:rsid w:val="002E61E0"/>
    <w:rsid w:val="002E6C86"/>
    <w:rsid w:val="002E6E56"/>
    <w:rsid w:val="002F1055"/>
    <w:rsid w:val="002F48A1"/>
    <w:rsid w:val="003035AE"/>
    <w:rsid w:val="00304939"/>
    <w:rsid w:val="00307244"/>
    <w:rsid w:val="003116CC"/>
    <w:rsid w:val="00314640"/>
    <w:rsid w:val="003148DD"/>
    <w:rsid w:val="00315F69"/>
    <w:rsid w:val="0032372C"/>
    <w:rsid w:val="00324475"/>
    <w:rsid w:val="00325419"/>
    <w:rsid w:val="0033280A"/>
    <w:rsid w:val="00332901"/>
    <w:rsid w:val="00332EF3"/>
    <w:rsid w:val="00334EAB"/>
    <w:rsid w:val="003404C9"/>
    <w:rsid w:val="00351F10"/>
    <w:rsid w:val="00352A7E"/>
    <w:rsid w:val="003617E4"/>
    <w:rsid w:val="0036779F"/>
    <w:rsid w:val="0038184D"/>
    <w:rsid w:val="00383A02"/>
    <w:rsid w:val="00387D9F"/>
    <w:rsid w:val="0039657C"/>
    <w:rsid w:val="003A7C75"/>
    <w:rsid w:val="003B160E"/>
    <w:rsid w:val="003B5D53"/>
    <w:rsid w:val="003C12BC"/>
    <w:rsid w:val="003C18D5"/>
    <w:rsid w:val="003C7428"/>
    <w:rsid w:val="003D1856"/>
    <w:rsid w:val="003D2B0E"/>
    <w:rsid w:val="003D67DF"/>
    <w:rsid w:val="003D7EFD"/>
    <w:rsid w:val="003F23B5"/>
    <w:rsid w:val="003F68F9"/>
    <w:rsid w:val="00402245"/>
    <w:rsid w:val="00403677"/>
    <w:rsid w:val="004041A5"/>
    <w:rsid w:val="0040464A"/>
    <w:rsid w:val="00405CFF"/>
    <w:rsid w:val="004060DC"/>
    <w:rsid w:val="00416177"/>
    <w:rsid w:val="00420302"/>
    <w:rsid w:val="00420308"/>
    <w:rsid w:val="00420BC8"/>
    <w:rsid w:val="0042497C"/>
    <w:rsid w:val="00425565"/>
    <w:rsid w:val="00436C7F"/>
    <w:rsid w:val="004442B1"/>
    <w:rsid w:val="00444CA3"/>
    <w:rsid w:val="004472C4"/>
    <w:rsid w:val="00450BE3"/>
    <w:rsid w:val="004528B3"/>
    <w:rsid w:val="00452FF3"/>
    <w:rsid w:val="0045474E"/>
    <w:rsid w:val="004564AD"/>
    <w:rsid w:val="00460573"/>
    <w:rsid w:val="00463A4E"/>
    <w:rsid w:val="004661FB"/>
    <w:rsid w:val="004677B8"/>
    <w:rsid w:val="00467AB0"/>
    <w:rsid w:val="00473254"/>
    <w:rsid w:val="00476DA4"/>
    <w:rsid w:val="00477074"/>
    <w:rsid w:val="0047781E"/>
    <w:rsid w:val="00481101"/>
    <w:rsid w:val="0049087D"/>
    <w:rsid w:val="004940C8"/>
    <w:rsid w:val="00494B43"/>
    <w:rsid w:val="004A0689"/>
    <w:rsid w:val="004A06E4"/>
    <w:rsid w:val="004A2482"/>
    <w:rsid w:val="004A4637"/>
    <w:rsid w:val="004B1F8B"/>
    <w:rsid w:val="004B25D8"/>
    <w:rsid w:val="004B4381"/>
    <w:rsid w:val="004B55F4"/>
    <w:rsid w:val="004B6D35"/>
    <w:rsid w:val="004C1D6A"/>
    <w:rsid w:val="004C4230"/>
    <w:rsid w:val="004C74E3"/>
    <w:rsid w:val="004D1DBA"/>
    <w:rsid w:val="004D2282"/>
    <w:rsid w:val="004D2973"/>
    <w:rsid w:val="004E152C"/>
    <w:rsid w:val="004E1B83"/>
    <w:rsid w:val="004E27D3"/>
    <w:rsid w:val="004E4869"/>
    <w:rsid w:val="004E5144"/>
    <w:rsid w:val="004E53F5"/>
    <w:rsid w:val="004E66E4"/>
    <w:rsid w:val="004F017B"/>
    <w:rsid w:val="004F2027"/>
    <w:rsid w:val="004F344B"/>
    <w:rsid w:val="004F69F0"/>
    <w:rsid w:val="005029AC"/>
    <w:rsid w:val="005034FE"/>
    <w:rsid w:val="00505C2C"/>
    <w:rsid w:val="00512C36"/>
    <w:rsid w:val="00514B0A"/>
    <w:rsid w:val="00515A3E"/>
    <w:rsid w:val="00525107"/>
    <w:rsid w:val="00526BC6"/>
    <w:rsid w:val="00527F47"/>
    <w:rsid w:val="00540BAE"/>
    <w:rsid w:val="00543AE2"/>
    <w:rsid w:val="00545591"/>
    <w:rsid w:val="00546E8B"/>
    <w:rsid w:val="00550A5B"/>
    <w:rsid w:val="0055163C"/>
    <w:rsid w:val="00551882"/>
    <w:rsid w:val="00557C73"/>
    <w:rsid w:val="00561367"/>
    <w:rsid w:val="005618CC"/>
    <w:rsid w:val="00563938"/>
    <w:rsid w:val="00582DDF"/>
    <w:rsid w:val="005843DD"/>
    <w:rsid w:val="00586FC4"/>
    <w:rsid w:val="00596D21"/>
    <w:rsid w:val="005A6BBE"/>
    <w:rsid w:val="005B1AC9"/>
    <w:rsid w:val="005B30CC"/>
    <w:rsid w:val="005C1410"/>
    <w:rsid w:val="005C486C"/>
    <w:rsid w:val="005D3CE2"/>
    <w:rsid w:val="005E179D"/>
    <w:rsid w:val="005E35B1"/>
    <w:rsid w:val="005F5C50"/>
    <w:rsid w:val="005F714B"/>
    <w:rsid w:val="006000CC"/>
    <w:rsid w:val="00603837"/>
    <w:rsid w:val="0061032D"/>
    <w:rsid w:val="006106F4"/>
    <w:rsid w:val="0061520F"/>
    <w:rsid w:val="00615C44"/>
    <w:rsid w:val="006205E2"/>
    <w:rsid w:val="00624342"/>
    <w:rsid w:val="0062660E"/>
    <w:rsid w:val="00626A51"/>
    <w:rsid w:val="00627C93"/>
    <w:rsid w:val="0063006E"/>
    <w:rsid w:val="006334F5"/>
    <w:rsid w:val="006417F4"/>
    <w:rsid w:val="006450DC"/>
    <w:rsid w:val="00665CAE"/>
    <w:rsid w:val="00681A80"/>
    <w:rsid w:val="0068455B"/>
    <w:rsid w:val="00686637"/>
    <w:rsid w:val="00690623"/>
    <w:rsid w:val="00693226"/>
    <w:rsid w:val="00693E65"/>
    <w:rsid w:val="00695815"/>
    <w:rsid w:val="006A0CC5"/>
    <w:rsid w:val="006A2F03"/>
    <w:rsid w:val="006A5C0D"/>
    <w:rsid w:val="006A6B88"/>
    <w:rsid w:val="006A6BE1"/>
    <w:rsid w:val="006B0119"/>
    <w:rsid w:val="006C022E"/>
    <w:rsid w:val="006C1E0E"/>
    <w:rsid w:val="006C387A"/>
    <w:rsid w:val="006C5D7C"/>
    <w:rsid w:val="006D1127"/>
    <w:rsid w:val="006D56B4"/>
    <w:rsid w:val="006E0FC6"/>
    <w:rsid w:val="006E5A3D"/>
    <w:rsid w:val="006F216E"/>
    <w:rsid w:val="006F39F0"/>
    <w:rsid w:val="00711A60"/>
    <w:rsid w:val="00713B7D"/>
    <w:rsid w:val="007140CE"/>
    <w:rsid w:val="007165ED"/>
    <w:rsid w:val="007248F8"/>
    <w:rsid w:val="00735553"/>
    <w:rsid w:val="00735589"/>
    <w:rsid w:val="00736AF1"/>
    <w:rsid w:val="00744C31"/>
    <w:rsid w:val="007473A2"/>
    <w:rsid w:val="0075040E"/>
    <w:rsid w:val="007526C0"/>
    <w:rsid w:val="00754FB1"/>
    <w:rsid w:val="007551E5"/>
    <w:rsid w:val="007566AB"/>
    <w:rsid w:val="00757C54"/>
    <w:rsid w:val="00761307"/>
    <w:rsid w:val="00764361"/>
    <w:rsid w:val="00764BEB"/>
    <w:rsid w:val="00765686"/>
    <w:rsid w:val="00771B92"/>
    <w:rsid w:val="00771FD0"/>
    <w:rsid w:val="00773C20"/>
    <w:rsid w:val="00780CCE"/>
    <w:rsid w:val="00780F61"/>
    <w:rsid w:val="007814F7"/>
    <w:rsid w:val="007818FC"/>
    <w:rsid w:val="007823C1"/>
    <w:rsid w:val="007873D2"/>
    <w:rsid w:val="00790CA2"/>
    <w:rsid w:val="00794022"/>
    <w:rsid w:val="007940E0"/>
    <w:rsid w:val="007A16DA"/>
    <w:rsid w:val="007B28F4"/>
    <w:rsid w:val="007B42BD"/>
    <w:rsid w:val="007B5DB1"/>
    <w:rsid w:val="007C32DC"/>
    <w:rsid w:val="007C5399"/>
    <w:rsid w:val="007C5A30"/>
    <w:rsid w:val="007C61D8"/>
    <w:rsid w:val="007D37E5"/>
    <w:rsid w:val="007E02B8"/>
    <w:rsid w:val="007E0E16"/>
    <w:rsid w:val="007E3319"/>
    <w:rsid w:val="007E380A"/>
    <w:rsid w:val="007E4F2D"/>
    <w:rsid w:val="007E7615"/>
    <w:rsid w:val="007E790A"/>
    <w:rsid w:val="007F3FC6"/>
    <w:rsid w:val="007F5C64"/>
    <w:rsid w:val="008009DB"/>
    <w:rsid w:val="0080251D"/>
    <w:rsid w:val="00803F66"/>
    <w:rsid w:val="00813918"/>
    <w:rsid w:val="0081629D"/>
    <w:rsid w:val="008263F3"/>
    <w:rsid w:val="00830B22"/>
    <w:rsid w:val="00840945"/>
    <w:rsid w:val="00845A83"/>
    <w:rsid w:val="00850F7B"/>
    <w:rsid w:val="0085125E"/>
    <w:rsid w:val="00852E16"/>
    <w:rsid w:val="00855F15"/>
    <w:rsid w:val="0085622F"/>
    <w:rsid w:val="00857168"/>
    <w:rsid w:val="0086569E"/>
    <w:rsid w:val="00872E48"/>
    <w:rsid w:val="008746C3"/>
    <w:rsid w:val="00874905"/>
    <w:rsid w:val="008775A2"/>
    <w:rsid w:val="00877B2D"/>
    <w:rsid w:val="00877BE3"/>
    <w:rsid w:val="0088380D"/>
    <w:rsid w:val="008840D4"/>
    <w:rsid w:val="00884341"/>
    <w:rsid w:val="008A118A"/>
    <w:rsid w:val="008A1667"/>
    <w:rsid w:val="008A3CA5"/>
    <w:rsid w:val="008B1B1F"/>
    <w:rsid w:val="008B53AD"/>
    <w:rsid w:val="008C0E62"/>
    <w:rsid w:val="008C3512"/>
    <w:rsid w:val="008C39F5"/>
    <w:rsid w:val="008C3B4B"/>
    <w:rsid w:val="008D400E"/>
    <w:rsid w:val="008F0758"/>
    <w:rsid w:val="008F3CDF"/>
    <w:rsid w:val="009017ED"/>
    <w:rsid w:val="00907733"/>
    <w:rsid w:val="00913DC8"/>
    <w:rsid w:val="00924ACD"/>
    <w:rsid w:val="00926476"/>
    <w:rsid w:val="0093189E"/>
    <w:rsid w:val="00933529"/>
    <w:rsid w:val="00937B81"/>
    <w:rsid w:val="00937B88"/>
    <w:rsid w:val="009437F2"/>
    <w:rsid w:val="00950594"/>
    <w:rsid w:val="00950831"/>
    <w:rsid w:val="0095325B"/>
    <w:rsid w:val="009577E4"/>
    <w:rsid w:val="00971821"/>
    <w:rsid w:val="00971F68"/>
    <w:rsid w:val="00972F24"/>
    <w:rsid w:val="0097647D"/>
    <w:rsid w:val="009803DB"/>
    <w:rsid w:val="00985B54"/>
    <w:rsid w:val="00987BF2"/>
    <w:rsid w:val="00991540"/>
    <w:rsid w:val="00991ACA"/>
    <w:rsid w:val="00991EF7"/>
    <w:rsid w:val="009A6582"/>
    <w:rsid w:val="009A7858"/>
    <w:rsid w:val="009B1489"/>
    <w:rsid w:val="009B1F8A"/>
    <w:rsid w:val="009B67F2"/>
    <w:rsid w:val="009B74CB"/>
    <w:rsid w:val="009C314E"/>
    <w:rsid w:val="009C470F"/>
    <w:rsid w:val="009C4D15"/>
    <w:rsid w:val="009C77F6"/>
    <w:rsid w:val="009D071F"/>
    <w:rsid w:val="009D0C50"/>
    <w:rsid w:val="009D31EC"/>
    <w:rsid w:val="009E341B"/>
    <w:rsid w:val="009E3602"/>
    <w:rsid w:val="009E47D2"/>
    <w:rsid w:val="009E4DD0"/>
    <w:rsid w:val="009E5F8F"/>
    <w:rsid w:val="009F008A"/>
    <w:rsid w:val="009F2403"/>
    <w:rsid w:val="009F3810"/>
    <w:rsid w:val="009F4CA1"/>
    <w:rsid w:val="009F7C2E"/>
    <w:rsid w:val="00A04BED"/>
    <w:rsid w:val="00A1046A"/>
    <w:rsid w:val="00A11E2B"/>
    <w:rsid w:val="00A13D71"/>
    <w:rsid w:val="00A13E91"/>
    <w:rsid w:val="00A2180C"/>
    <w:rsid w:val="00A22BBB"/>
    <w:rsid w:val="00A23548"/>
    <w:rsid w:val="00A24BFA"/>
    <w:rsid w:val="00A40B23"/>
    <w:rsid w:val="00A40FAB"/>
    <w:rsid w:val="00A418D1"/>
    <w:rsid w:val="00A44A1E"/>
    <w:rsid w:val="00A45917"/>
    <w:rsid w:val="00A46579"/>
    <w:rsid w:val="00A47938"/>
    <w:rsid w:val="00A5385B"/>
    <w:rsid w:val="00A579AB"/>
    <w:rsid w:val="00A57D5A"/>
    <w:rsid w:val="00A6464D"/>
    <w:rsid w:val="00A64705"/>
    <w:rsid w:val="00A674B5"/>
    <w:rsid w:val="00A70949"/>
    <w:rsid w:val="00A752B4"/>
    <w:rsid w:val="00A7798E"/>
    <w:rsid w:val="00A8031B"/>
    <w:rsid w:val="00A81B5F"/>
    <w:rsid w:val="00A823A9"/>
    <w:rsid w:val="00A84C08"/>
    <w:rsid w:val="00A85777"/>
    <w:rsid w:val="00A869C0"/>
    <w:rsid w:val="00A9543F"/>
    <w:rsid w:val="00AA5FFC"/>
    <w:rsid w:val="00AB6BF1"/>
    <w:rsid w:val="00AB78E9"/>
    <w:rsid w:val="00AC09A2"/>
    <w:rsid w:val="00AC167C"/>
    <w:rsid w:val="00AC16FD"/>
    <w:rsid w:val="00AD4320"/>
    <w:rsid w:val="00AD5537"/>
    <w:rsid w:val="00AE7A42"/>
    <w:rsid w:val="00AF1078"/>
    <w:rsid w:val="00AF4A25"/>
    <w:rsid w:val="00AF5834"/>
    <w:rsid w:val="00AF67CD"/>
    <w:rsid w:val="00B01826"/>
    <w:rsid w:val="00B034CD"/>
    <w:rsid w:val="00B11002"/>
    <w:rsid w:val="00B12092"/>
    <w:rsid w:val="00B24D76"/>
    <w:rsid w:val="00B276C1"/>
    <w:rsid w:val="00B32052"/>
    <w:rsid w:val="00B32F0C"/>
    <w:rsid w:val="00B3477E"/>
    <w:rsid w:val="00B4028E"/>
    <w:rsid w:val="00B4069E"/>
    <w:rsid w:val="00B45823"/>
    <w:rsid w:val="00B46A08"/>
    <w:rsid w:val="00B47157"/>
    <w:rsid w:val="00B6414D"/>
    <w:rsid w:val="00B73F83"/>
    <w:rsid w:val="00B82771"/>
    <w:rsid w:val="00B82A61"/>
    <w:rsid w:val="00B94F94"/>
    <w:rsid w:val="00BA2DE0"/>
    <w:rsid w:val="00BA544F"/>
    <w:rsid w:val="00BC3375"/>
    <w:rsid w:val="00BC4687"/>
    <w:rsid w:val="00BC59F4"/>
    <w:rsid w:val="00BD0650"/>
    <w:rsid w:val="00BD3751"/>
    <w:rsid w:val="00BD403C"/>
    <w:rsid w:val="00BE00C4"/>
    <w:rsid w:val="00BE0A44"/>
    <w:rsid w:val="00BE213C"/>
    <w:rsid w:val="00BE23AE"/>
    <w:rsid w:val="00BE5F45"/>
    <w:rsid w:val="00BE7B89"/>
    <w:rsid w:val="00C00852"/>
    <w:rsid w:val="00C0491E"/>
    <w:rsid w:val="00C04B79"/>
    <w:rsid w:val="00C14B0B"/>
    <w:rsid w:val="00C20D59"/>
    <w:rsid w:val="00C25FE9"/>
    <w:rsid w:val="00C2601B"/>
    <w:rsid w:val="00C2786A"/>
    <w:rsid w:val="00C320BC"/>
    <w:rsid w:val="00C34E00"/>
    <w:rsid w:val="00C461A5"/>
    <w:rsid w:val="00C50883"/>
    <w:rsid w:val="00C52319"/>
    <w:rsid w:val="00C52595"/>
    <w:rsid w:val="00C547C7"/>
    <w:rsid w:val="00C5774B"/>
    <w:rsid w:val="00C62935"/>
    <w:rsid w:val="00C62E9B"/>
    <w:rsid w:val="00C66660"/>
    <w:rsid w:val="00C70DA8"/>
    <w:rsid w:val="00C74362"/>
    <w:rsid w:val="00C80BD1"/>
    <w:rsid w:val="00C8120A"/>
    <w:rsid w:val="00C83823"/>
    <w:rsid w:val="00C84BE5"/>
    <w:rsid w:val="00C8778B"/>
    <w:rsid w:val="00C932CA"/>
    <w:rsid w:val="00C94296"/>
    <w:rsid w:val="00CA13C4"/>
    <w:rsid w:val="00CA159C"/>
    <w:rsid w:val="00CA3426"/>
    <w:rsid w:val="00CA40E5"/>
    <w:rsid w:val="00CA46B6"/>
    <w:rsid w:val="00CB3595"/>
    <w:rsid w:val="00CB709A"/>
    <w:rsid w:val="00CC128A"/>
    <w:rsid w:val="00CD1DF9"/>
    <w:rsid w:val="00CD24A7"/>
    <w:rsid w:val="00CE6E3B"/>
    <w:rsid w:val="00CF0FAA"/>
    <w:rsid w:val="00CF1877"/>
    <w:rsid w:val="00CF5E81"/>
    <w:rsid w:val="00CF66B1"/>
    <w:rsid w:val="00D076A6"/>
    <w:rsid w:val="00D0776D"/>
    <w:rsid w:val="00D113F8"/>
    <w:rsid w:val="00D11710"/>
    <w:rsid w:val="00D117FF"/>
    <w:rsid w:val="00D1298C"/>
    <w:rsid w:val="00D134F1"/>
    <w:rsid w:val="00D14691"/>
    <w:rsid w:val="00D2398F"/>
    <w:rsid w:val="00D255D3"/>
    <w:rsid w:val="00D37A58"/>
    <w:rsid w:val="00D50E6D"/>
    <w:rsid w:val="00D511FE"/>
    <w:rsid w:val="00D56460"/>
    <w:rsid w:val="00D6199E"/>
    <w:rsid w:val="00D6240F"/>
    <w:rsid w:val="00D648A6"/>
    <w:rsid w:val="00D64BA1"/>
    <w:rsid w:val="00D7125E"/>
    <w:rsid w:val="00D76F29"/>
    <w:rsid w:val="00D807F1"/>
    <w:rsid w:val="00D83BA2"/>
    <w:rsid w:val="00D86049"/>
    <w:rsid w:val="00D96224"/>
    <w:rsid w:val="00DA340C"/>
    <w:rsid w:val="00DA48A3"/>
    <w:rsid w:val="00DA49FA"/>
    <w:rsid w:val="00DA5EC2"/>
    <w:rsid w:val="00DA67AC"/>
    <w:rsid w:val="00DB64DC"/>
    <w:rsid w:val="00DB70F2"/>
    <w:rsid w:val="00DC460A"/>
    <w:rsid w:val="00DC5555"/>
    <w:rsid w:val="00DE0094"/>
    <w:rsid w:val="00DE43E0"/>
    <w:rsid w:val="00DE73B4"/>
    <w:rsid w:val="00DE798E"/>
    <w:rsid w:val="00DF478F"/>
    <w:rsid w:val="00E01C91"/>
    <w:rsid w:val="00E0756D"/>
    <w:rsid w:val="00E122CD"/>
    <w:rsid w:val="00E1347C"/>
    <w:rsid w:val="00E14F64"/>
    <w:rsid w:val="00E1650D"/>
    <w:rsid w:val="00E16C57"/>
    <w:rsid w:val="00E244A2"/>
    <w:rsid w:val="00E35A8F"/>
    <w:rsid w:val="00E40420"/>
    <w:rsid w:val="00E468A9"/>
    <w:rsid w:val="00E51206"/>
    <w:rsid w:val="00E514B6"/>
    <w:rsid w:val="00E5656E"/>
    <w:rsid w:val="00E57A97"/>
    <w:rsid w:val="00E70CBD"/>
    <w:rsid w:val="00E72068"/>
    <w:rsid w:val="00E75192"/>
    <w:rsid w:val="00E82054"/>
    <w:rsid w:val="00E84630"/>
    <w:rsid w:val="00E86E20"/>
    <w:rsid w:val="00E87DE0"/>
    <w:rsid w:val="00E9000B"/>
    <w:rsid w:val="00E96EBE"/>
    <w:rsid w:val="00EA11A7"/>
    <w:rsid w:val="00EA7C92"/>
    <w:rsid w:val="00EB23AD"/>
    <w:rsid w:val="00EB254A"/>
    <w:rsid w:val="00EB5F1D"/>
    <w:rsid w:val="00EC015F"/>
    <w:rsid w:val="00EC12F2"/>
    <w:rsid w:val="00EC5B53"/>
    <w:rsid w:val="00ED15C4"/>
    <w:rsid w:val="00ED52A3"/>
    <w:rsid w:val="00ED696C"/>
    <w:rsid w:val="00EE0E4E"/>
    <w:rsid w:val="00EE1528"/>
    <w:rsid w:val="00EE3696"/>
    <w:rsid w:val="00EE406B"/>
    <w:rsid w:val="00EF0DCC"/>
    <w:rsid w:val="00EF0F73"/>
    <w:rsid w:val="00EF198F"/>
    <w:rsid w:val="00EF4173"/>
    <w:rsid w:val="00EF55ED"/>
    <w:rsid w:val="00F00908"/>
    <w:rsid w:val="00F02C20"/>
    <w:rsid w:val="00F0407F"/>
    <w:rsid w:val="00F06E45"/>
    <w:rsid w:val="00F1156D"/>
    <w:rsid w:val="00F172F4"/>
    <w:rsid w:val="00F206BD"/>
    <w:rsid w:val="00F27A95"/>
    <w:rsid w:val="00F3288D"/>
    <w:rsid w:val="00F3539B"/>
    <w:rsid w:val="00F36D28"/>
    <w:rsid w:val="00F446C3"/>
    <w:rsid w:val="00F507BD"/>
    <w:rsid w:val="00F517BA"/>
    <w:rsid w:val="00F576DD"/>
    <w:rsid w:val="00F6655F"/>
    <w:rsid w:val="00F70248"/>
    <w:rsid w:val="00F7294B"/>
    <w:rsid w:val="00F76C87"/>
    <w:rsid w:val="00F81AA1"/>
    <w:rsid w:val="00F833EC"/>
    <w:rsid w:val="00F90388"/>
    <w:rsid w:val="00F95C08"/>
    <w:rsid w:val="00FA35A6"/>
    <w:rsid w:val="00FA42ED"/>
    <w:rsid w:val="00FA5D06"/>
    <w:rsid w:val="00FB151B"/>
    <w:rsid w:val="00FB1A48"/>
    <w:rsid w:val="00FB1E06"/>
    <w:rsid w:val="00FB674F"/>
    <w:rsid w:val="00FC7589"/>
    <w:rsid w:val="00FD30D6"/>
    <w:rsid w:val="00FD40DA"/>
    <w:rsid w:val="00FD5D52"/>
    <w:rsid w:val="00FE29FB"/>
    <w:rsid w:val="00FE6058"/>
    <w:rsid w:val="00FE69EC"/>
    <w:rsid w:val="00FF1532"/>
    <w:rsid w:val="00FF1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jc w:val="both"/>
    </w:pPr>
    <w:rPr>
      <w:sz w:val="24"/>
    </w:rPr>
  </w:style>
  <w:style w:type="paragraph" w:styleId="1">
    <w:name w:val="heading 1"/>
    <w:basedOn w:val="a0"/>
    <w:next w:val="a0"/>
    <w:link w:val="10"/>
    <w:qFormat/>
    <w:pPr>
      <w:keepNext/>
      <w:widowControl w:val="0"/>
      <w:spacing w:before="240" w:after="60"/>
      <w:outlineLvl w:val="0"/>
    </w:pPr>
    <w:rPr>
      <w:rFonts w:ascii="Arial" w:hAnsi="Arial"/>
      <w:b/>
      <w:kern w:val="28"/>
      <w:sz w:val="28"/>
    </w:rPr>
  </w:style>
  <w:style w:type="paragraph" w:styleId="2">
    <w:name w:val="heading 2"/>
    <w:basedOn w:val="a0"/>
    <w:next w:val="a0"/>
    <w:qFormat/>
    <w:pPr>
      <w:keepNext/>
      <w:spacing w:before="240"/>
      <w:ind w:firstLine="720"/>
      <w:jc w:val="center"/>
      <w:outlineLvl w:val="1"/>
    </w:pPr>
    <w:rPr>
      <w:b/>
      <w:bCs/>
      <w:sz w:val="28"/>
    </w:rPr>
  </w:style>
  <w:style w:type="paragraph" w:styleId="3">
    <w:name w:val="heading 3"/>
    <w:basedOn w:val="a0"/>
    <w:next w:val="a0"/>
    <w:qFormat/>
    <w:pPr>
      <w:keepNext/>
      <w:widowControl w:val="0"/>
      <w:spacing w:before="120" w:line="244" w:lineRule="exact"/>
      <w:ind w:firstLine="720"/>
      <w:outlineLvl w:val="2"/>
    </w:pPr>
    <w:rPr>
      <w:b/>
      <w:bCs/>
      <w:sz w:val="20"/>
    </w:rPr>
  </w:style>
  <w:style w:type="paragraph" w:styleId="4">
    <w:name w:val="heading 4"/>
    <w:basedOn w:val="a0"/>
    <w:next w:val="a0"/>
    <w:qFormat/>
    <w:pPr>
      <w:keepNext/>
      <w:ind w:firstLine="720"/>
      <w:outlineLvl w:val="3"/>
    </w:pPr>
    <w:rPr>
      <w:b/>
      <w:sz w:val="28"/>
    </w:rPr>
  </w:style>
  <w:style w:type="paragraph" w:styleId="5">
    <w:name w:val="heading 5"/>
    <w:basedOn w:val="a0"/>
    <w:next w:val="a0"/>
    <w:link w:val="50"/>
    <w:qFormat/>
    <w:pPr>
      <w:keepNext/>
      <w:widowControl w:val="0"/>
      <w:outlineLvl w:val="4"/>
    </w:pPr>
    <w:rPr>
      <w:sz w:val="28"/>
    </w:rPr>
  </w:style>
  <w:style w:type="paragraph" w:styleId="6">
    <w:name w:val="heading 6"/>
    <w:basedOn w:val="a0"/>
    <w:next w:val="a0"/>
    <w:qFormat/>
    <w:pPr>
      <w:keepNext/>
      <w:widowControl w:val="0"/>
      <w:outlineLvl w:val="5"/>
    </w:pPr>
    <w:rPr>
      <w:b/>
      <w:color w:val="000000"/>
      <w:sz w:val="28"/>
    </w:rPr>
  </w:style>
  <w:style w:type="paragraph" w:styleId="7">
    <w:name w:val="heading 7"/>
    <w:basedOn w:val="a0"/>
    <w:next w:val="a0"/>
    <w:qFormat/>
    <w:pPr>
      <w:keepNext/>
      <w:widowControl w:val="0"/>
      <w:shd w:val="clear" w:color="auto" w:fill="FFFFFF"/>
      <w:spacing w:before="240"/>
      <w:ind w:firstLine="720"/>
      <w:outlineLvl w:val="6"/>
    </w:pPr>
    <w:rPr>
      <w:b/>
      <w:sz w:val="28"/>
    </w:rPr>
  </w:style>
  <w:style w:type="paragraph" w:styleId="8">
    <w:name w:val="heading 8"/>
    <w:basedOn w:val="a0"/>
    <w:next w:val="a0"/>
    <w:qFormat/>
    <w:pPr>
      <w:keepNext/>
      <w:widowControl w:val="0"/>
      <w:ind w:firstLine="720"/>
      <w:outlineLvl w:val="7"/>
    </w:pPr>
    <w:rPr>
      <w:b/>
    </w:rPr>
  </w:style>
  <w:style w:type="paragraph" w:styleId="9">
    <w:name w:val="heading 9"/>
    <w:basedOn w:val="a0"/>
    <w:next w:val="a0"/>
    <w:qFormat/>
    <w:pPr>
      <w:keepNext/>
      <w:widowControl w:val="0"/>
      <w:spacing w:before="120"/>
      <w:ind w:firstLine="720"/>
      <w:jc w:val="left"/>
      <w:outlineLvl w:val="8"/>
    </w:pPr>
    <w:rPr>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1,Заг1,Знак11,Заг11"/>
    <w:basedOn w:val="a0"/>
    <w:pPr>
      <w:spacing w:before="120"/>
    </w:pPr>
    <w:rPr>
      <w:sz w:val="20"/>
    </w:rPr>
  </w:style>
  <w:style w:type="paragraph" w:styleId="20">
    <w:name w:val="Body Text Indent 2"/>
    <w:basedOn w:val="a0"/>
    <w:pPr>
      <w:widowControl w:val="0"/>
      <w:spacing w:before="120" w:line="220" w:lineRule="exact"/>
      <w:ind w:firstLine="720"/>
    </w:pPr>
    <w:rPr>
      <w:sz w:val="20"/>
    </w:rPr>
  </w:style>
  <w:style w:type="paragraph" w:styleId="30">
    <w:name w:val="Body Text Indent 3"/>
    <w:basedOn w:val="a0"/>
    <w:pPr>
      <w:spacing w:before="120"/>
      <w:ind w:firstLine="720"/>
    </w:pPr>
    <w:rPr>
      <w:bCs/>
      <w:sz w:val="28"/>
      <w:szCs w:val="24"/>
    </w:rPr>
  </w:style>
  <w:style w:type="paragraph" w:styleId="a5">
    <w:name w:val="Body Text Indent"/>
    <w:basedOn w:val="a0"/>
    <w:pPr>
      <w:widowControl w:val="0"/>
      <w:tabs>
        <w:tab w:val="left" w:pos="709"/>
      </w:tabs>
      <w:spacing w:before="120" w:line="220" w:lineRule="exact"/>
      <w:ind w:firstLine="720"/>
    </w:pPr>
    <w:rPr>
      <w:sz w:val="20"/>
    </w:rPr>
  </w:style>
  <w:style w:type="character" w:styleId="a6">
    <w:name w:val="page number"/>
    <w:basedOn w:val="a1"/>
  </w:style>
  <w:style w:type="paragraph" w:styleId="a7">
    <w:name w:val="header"/>
    <w:basedOn w:val="a0"/>
    <w:link w:val="a8"/>
    <w:pPr>
      <w:widowControl w:val="0"/>
      <w:tabs>
        <w:tab w:val="center" w:pos="4153"/>
        <w:tab w:val="right" w:pos="8306"/>
      </w:tabs>
    </w:pPr>
  </w:style>
  <w:style w:type="paragraph" w:styleId="a9">
    <w:name w:val="footer"/>
    <w:basedOn w:val="a0"/>
    <w:link w:val="aa"/>
    <w:pPr>
      <w:tabs>
        <w:tab w:val="center" w:pos="4677"/>
        <w:tab w:val="right" w:pos="9355"/>
      </w:tabs>
    </w:pPr>
  </w:style>
  <w:style w:type="paragraph" w:customStyle="1" w:styleId="ConsPlusNormal">
    <w:name w:val="ConsPlusNormal"/>
    <w:rsid w:val="003A7C75"/>
    <w:pPr>
      <w:widowControl w:val="0"/>
      <w:autoSpaceDE w:val="0"/>
      <w:autoSpaceDN w:val="0"/>
      <w:adjustRightInd w:val="0"/>
      <w:ind w:firstLine="720"/>
    </w:pPr>
    <w:rPr>
      <w:rFonts w:ascii="Arial" w:hAnsi="Arial" w:cs="Arial"/>
    </w:rPr>
  </w:style>
  <w:style w:type="paragraph" w:styleId="ab">
    <w:name w:val="Balloon Text"/>
    <w:basedOn w:val="a0"/>
    <w:link w:val="ac"/>
    <w:semiHidden/>
    <w:rsid w:val="0006708F"/>
    <w:rPr>
      <w:rFonts w:ascii="Tahoma" w:hAnsi="Tahoma" w:cs="Tahoma"/>
      <w:sz w:val="16"/>
      <w:szCs w:val="16"/>
    </w:rPr>
  </w:style>
  <w:style w:type="paragraph" w:styleId="ad">
    <w:name w:val="Normal (Web)"/>
    <w:basedOn w:val="a0"/>
    <w:rsid w:val="00850F7B"/>
    <w:pPr>
      <w:spacing w:before="100" w:beforeAutospacing="1" w:after="100" w:afterAutospacing="1"/>
      <w:jc w:val="left"/>
    </w:pPr>
    <w:rPr>
      <w:szCs w:val="24"/>
    </w:rPr>
  </w:style>
  <w:style w:type="table" w:styleId="ae">
    <w:name w:val="Table Grid"/>
    <w:basedOn w:val="a2"/>
    <w:rsid w:val="006205E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Îáû÷íûé"/>
    <w:rsid w:val="00C8120A"/>
    <w:rPr>
      <w:rFonts w:ascii="Arial" w:hAnsi="Arial"/>
      <w:sz w:val="14"/>
    </w:rPr>
  </w:style>
  <w:style w:type="character" w:customStyle="1" w:styleId="10">
    <w:name w:val="Заголовок 1 Знак"/>
    <w:link w:val="1"/>
    <w:rsid w:val="00243A24"/>
    <w:rPr>
      <w:rFonts w:ascii="Arial" w:hAnsi="Arial"/>
      <w:b/>
      <w:kern w:val="28"/>
      <w:sz w:val="28"/>
    </w:rPr>
  </w:style>
  <w:style w:type="character" w:customStyle="1" w:styleId="50">
    <w:name w:val="Заголовок 5 Знак"/>
    <w:link w:val="5"/>
    <w:rsid w:val="00010CA6"/>
    <w:rPr>
      <w:sz w:val="28"/>
    </w:rPr>
  </w:style>
  <w:style w:type="paragraph" w:customStyle="1" w:styleId="Iauiue">
    <w:name w:val="Iau?iue"/>
    <w:rsid w:val="003C18D5"/>
    <w:pPr>
      <w:widowControl w:val="0"/>
      <w:autoSpaceDE w:val="0"/>
      <w:autoSpaceDN w:val="0"/>
    </w:pPr>
  </w:style>
  <w:style w:type="paragraph" w:styleId="21">
    <w:name w:val="Body Text 2"/>
    <w:basedOn w:val="a0"/>
    <w:rsid w:val="004661FB"/>
    <w:pPr>
      <w:spacing w:after="120" w:line="480" w:lineRule="auto"/>
    </w:pPr>
  </w:style>
  <w:style w:type="character" w:customStyle="1" w:styleId="apple-converted-space">
    <w:name w:val="apple-converted-space"/>
    <w:basedOn w:val="a1"/>
    <w:rsid w:val="00332EF3"/>
  </w:style>
  <w:style w:type="character" w:styleId="af0">
    <w:name w:val="Hyperlink"/>
    <w:unhideWhenUsed/>
    <w:rsid w:val="00332EF3"/>
    <w:rPr>
      <w:color w:val="0000FF"/>
      <w:u w:val="single"/>
    </w:rPr>
  </w:style>
  <w:style w:type="character" w:customStyle="1" w:styleId="a8">
    <w:name w:val="Верхний колонтитул Знак"/>
    <w:link w:val="a7"/>
    <w:uiPriority w:val="99"/>
    <w:rsid w:val="00543AE2"/>
    <w:rPr>
      <w:sz w:val="24"/>
    </w:rPr>
  </w:style>
  <w:style w:type="paragraph" w:customStyle="1" w:styleId="210">
    <w:name w:val="Основной текст с отступом 21"/>
    <w:basedOn w:val="a0"/>
    <w:rsid w:val="003D1856"/>
    <w:pPr>
      <w:widowControl w:val="0"/>
      <w:spacing w:before="120"/>
      <w:ind w:firstLine="720"/>
    </w:pPr>
  </w:style>
  <w:style w:type="character" w:customStyle="1" w:styleId="Iniiaiieoeooaacaoa1">
    <w:name w:val="Iniiaiie o?eoo aacaoa1"/>
    <w:rsid w:val="003D1856"/>
    <w:rPr>
      <w:sz w:val="20"/>
    </w:rPr>
  </w:style>
  <w:style w:type="paragraph" w:customStyle="1" w:styleId="313">
    <w:name w:val="Верхний колонтитул313"/>
    <w:basedOn w:val="a0"/>
    <w:rsid w:val="003D1856"/>
    <w:pPr>
      <w:widowControl w:val="0"/>
      <w:tabs>
        <w:tab w:val="center" w:pos="4320"/>
        <w:tab w:val="right" w:pos="8640"/>
      </w:tabs>
    </w:pPr>
    <w:rPr>
      <w:sz w:val="20"/>
    </w:rPr>
  </w:style>
  <w:style w:type="character" w:customStyle="1" w:styleId="aa">
    <w:name w:val="Нижний колонтитул Знак"/>
    <w:link w:val="a9"/>
    <w:rsid w:val="003D1856"/>
    <w:rPr>
      <w:sz w:val="24"/>
    </w:rPr>
  </w:style>
  <w:style w:type="paragraph" w:customStyle="1" w:styleId="31">
    <w:name w:val="Верхний колонтитул31"/>
    <w:basedOn w:val="a0"/>
    <w:rsid w:val="003D1856"/>
    <w:pPr>
      <w:widowControl w:val="0"/>
      <w:tabs>
        <w:tab w:val="center" w:pos="4320"/>
        <w:tab w:val="right" w:pos="8640"/>
      </w:tabs>
    </w:pPr>
    <w:rPr>
      <w:sz w:val="20"/>
    </w:rPr>
  </w:style>
  <w:style w:type="character" w:styleId="af1">
    <w:name w:val="FollowedHyperlink"/>
    <w:rsid w:val="003D1856"/>
    <w:rPr>
      <w:color w:val="800080"/>
      <w:u w:val="single"/>
    </w:rPr>
  </w:style>
  <w:style w:type="paragraph" w:customStyle="1" w:styleId="3110">
    <w:name w:val="Верхний колонтитул3110"/>
    <w:basedOn w:val="a0"/>
    <w:rsid w:val="003D1856"/>
    <w:pPr>
      <w:widowControl w:val="0"/>
      <w:tabs>
        <w:tab w:val="center" w:pos="4320"/>
        <w:tab w:val="right" w:pos="8640"/>
      </w:tabs>
    </w:pPr>
    <w:rPr>
      <w:sz w:val="20"/>
    </w:rPr>
  </w:style>
  <w:style w:type="paragraph" w:customStyle="1" w:styleId="31101">
    <w:name w:val="Верхний колонтитул31101"/>
    <w:basedOn w:val="a0"/>
    <w:rsid w:val="003D1856"/>
    <w:pPr>
      <w:widowControl w:val="0"/>
      <w:tabs>
        <w:tab w:val="center" w:pos="4320"/>
        <w:tab w:val="right" w:pos="8640"/>
      </w:tabs>
    </w:pPr>
    <w:rPr>
      <w:sz w:val="20"/>
    </w:rPr>
  </w:style>
  <w:style w:type="paragraph" w:customStyle="1" w:styleId="31102">
    <w:name w:val="Верхний колонтитул31102"/>
    <w:basedOn w:val="a0"/>
    <w:rsid w:val="003D1856"/>
    <w:pPr>
      <w:widowControl w:val="0"/>
      <w:tabs>
        <w:tab w:val="center" w:pos="4320"/>
        <w:tab w:val="right" w:pos="8640"/>
      </w:tabs>
    </w:pPr>
    <w:rPr>
      <w:sz w:val="20"/>
    </w:rPr>
  </w:style>
  <w:style w:type="paragraph" w:customStyle="1" w:styleId="31103">
    <w:name w:val="Верхний колонтитул31103"/>
    <w:basedOn w:val="a0"/>
    <w:rsid w:val="003D1856"/>
    <w:pPr>
      <w:widowControl w:val="0"/>
      <w:tabs>
        <w:tab w:val="center" w:pos="4320"/>
        <w:tab w:val="right" w:pos="8640"/>
      </w:tabs>
    </w:pPr>
    <w:rPr>
      <w:sz w:val="20"/>
    </w:rPr>
  </w:style>
  <w:style w:type="paragraph" w:customStyle="1" w:styleId="31104">
    <w:name w:val="Верхний колонтитул31104"/>
    <w:basedOn w:val="a0"/>
    <w:rsid w:val="003D1856"/>
    <w:pPr>
      <w:widowControl w:val="0"/>
      <w:tabs>
        <w:tab w:val="center" w:pos="4320"/>
        <w:tab w:val="right" w:pos="8640"/>
      </w:tabs>
    </w:pPr>
    <w:rPr>
      <w:sz w:val="20"/>
    </w:rPr>
  </w:style>
  <w:style w:type="paragraph" w:customStyle="1" w:styleId="31105">
    <w:name w:val="Верхний колонтитул31105"/>
    <w:basedOn w:val="a0"/>
    <w:rsid w:val="003D1856"/>
    <w:pPr>
      <w:widowControl w:val="0"/>
      <w:tabs>
        <w:tab w:val="center" w:pos="4320"/>
        <w:tab w:val="right" w:pos="8640"/>
      </w:tabs>
    </w:pPr>
    <w:rPr>
      <w:sz w:val="20"/>
    </w:rPr>
  </w:style>
  <w:style w:type="paragraph" w:customStyle="1" w:styleId="31106">
    <w:name w:val="Верхний колонтитул31106"/>
    <w:basedOn w:val="a0"/>
    <w:rsid w:val="003D1856"/>
    <w:pPr>
      <w:widowControl w:val="0"/>
      <w:tabs>
        <w:tab w:val="center" w:pos="4320"/>
        <w:tab w:val="right" w:pos="8640"/>
      </w:tabs>
    </w:pPr>
    <w:rPr>
      <w:sz w:val="20"/>
    </w:rPr>
  </w:style>
  <w:style w:type="paragraph" w:customStyle="1" w:styleId="31107">
    <w:name w:val="Верхний колонтитул31107"/>
    <w:basedOn w:val="a0"/>
    <w:rsid w:val="003D1856"/>
    <w:pPr>
      <w:widowControl w:val="0"/>
      <w:tabs>
        <w:tab w:val="center" w:pos="4320"/>
        <w:tab w:val="right" w:pos="8640"/>
      </w:tabs>
    </w:pPr>
    <w:rPr>
      <w:sz w:val="20"/>
    </w:rPr>
  </w:style>
  <w:style w:type="paragraph" w:styleId="a">
    <w:name w:val="Title"/>
    <w:basedOn w:val="a0"/>
    <w:link w:val="af2"/>
    <w:qFormat/>
    <w:rsid w:val="003D1856"/>
    <w:pPr>
      <w:widowControl w:val="0"/>
      <w:numPr>
        <w:numId w:val="1"/>
      </w:numPr>
      <w:spacing w:before="120" w:line="300" w:lineRule="exact"/>
      <w:jc w:val="center"/>
    </w:pPr>
    <w:rPr>
      <w:rFonts w:ascii="Arial CYR" w:hAnsi="Arial CYR"/>
      <w:b/>
      <w:caps/>
      <w:sz w:val="28"/>
    </w:rPr>
  </w:style>
  <w:style w:type="character" w:customStyle="1" w:styleId="af2">
    <w:name w:val="Название Знак"/>
    <w:link w:val="a"/>
    <w:rsid w:val="003D1856"/>
    <w:rPr>
      <w:rFonts w:ascii="Arial CYR" w:hAnsi="Arial CYR"/>
      <w:b/>
      <w:caps/>
      <w:sz w:val="28"/>
    </w:rPr>
  </w:style>
  <w:style w:type="paragraph" w:styleId="22">
    <w:name w:val="List 2"/>
    <w:basedOn w:val="a0"/>
    <w:rsid w:val="003D1856"/>
    <w:pPr>
      <w:ind w:left="566" w:hanging="283"/>
      <w:jc w:val="left"/>
    </w:pPr>
    <w:rPr>
      <w:sz w:val="20"/>
    </w:rPr>
  </w:style>
  <w:style w:type="paragraph" w:styleId="32">
    <w:name w:val="List 3"/>
    <w:basedOn w:val="a0"/>
    <w:rsid w:val="003D1856"/>
    <w:pPr>
      <w:ind w:left="849" w:hanging="283"/>
      <w:jc w:val="left"/>
    </w:pPr>
    <w:rPr>
      <w:sz w:val="20"/>
    </w:rPr>
  </w:style>
  <w:style w:type="paragraph" w:customStyle="1" w:styleId="31108">
    <w:name w:val="Верхний колонтитул31108"/>
    <w:basedOn w:val="a0"/>
    <w:rsid w:val="003D1856"/>
    <w:pPr>
      <w:widowControl w:val="0"/>
      <w:tabs>
        <w:tab w:val="center" w:pos="4320"/>
        <w:tab w:val="right" w:pos="8640"/>
      </w:tabs>
    </w:pPr>
    <w:rPr>
      <w:sz w:val="20"/>
    </w:rPr>
  </w:style>
  <w:style w:type="paragraph" w:customStyle="1" w:styleId="31109">
    <w:name w:val="Верхний колонтитул31109"/>
    <w:basedOn w:val="a0"/>
    <w:rsid w:val="003D1856"/>
    <w:pPr>
      <w:widowControl w:val="0"/>
      <w:tabs>
        <w:tab w:val="center" w:pos="4320"/>
        <w:tab w:val="right" w:pos="8640"/>
      </w:tabs>
    </w:pPr>
    <w:rPr>
      <w:sz w:val="20"/>
    </w:rPr>
  </w:style>
  <w:style w:type="paragraph" w:customStyle="1" w:styleId="311017">
    <w:name w:val="Верхний колонтитул311017"/>
    <w:basedOn w:val="a0"/>
    <w:rsid w:val="003D1856"/>
    <w:pPr>
      <w:widowControl w:val="0"/>
      <w:tabs>
        <w:tab w:val="center" w:pos="4320"/>
        <w:tab w:val="right" w:pos="8640"/>
      </w:tabs>
    </w:pPr>
    <w:rPr>
      <w:sz w:val="20"/>
    </w:rPr>
  </w:style>
  <w:style w:type="paragraph" w:customStyle="1" w:styleId="311010">
    <w:name w:val="Верхний колонтитул311010"/>
    <w:basedOn w:val="a0"/>
    <w:rsid w:val="003D1856"/>
    <w:pPr>
      <w:widowControl w:val="0"/>
      <w:tabs>
        <w:tab w:val="center" w:pos="4320"/>
        <w:tab w:val="right" w:pos="8640"/>
      </w:tabs>
    </w:pPr>
    <w:rPr>
      <w:sz w:val="20"/>
    </w:rPr>
  </w:style>
  <w:style w:type="paragraph" w:customStyle="1" w:styleId="311091">
    <w:name w:val="Верхний колонтитул311091"/>
    <w:basedOn w:val="a0"/>
    <w:rsid w:val="003D1856"/>
    <w:pPr>
      <w:widowControl w:val="0"/>
      <w:tabs>
        <w:tab w:val="center" w:pos="4320"/>
        <w:tab w:val="right" w:pos="8640"/>
      </w:tabs>
    </w:pPr>
    <w:rPr>
      <w:sz w:val="20"/>
    </w:rPr>
  </w:style>
  <w:style w:type="paragraph" w:customStyle="1" w:styleId="3110171">
    <w:name w:val="Верхний колонтитул3110171"/>
    <w:basedOn w:val="a0"/>
    <w:rsid w:val="003D1856"/>
    <w:pPr>
      <w:widowControl w:val="0"/>
      <w:tabs>
        <w:tab w:val="center" w:pos="4320"/>
        <w:tab w:val="right" w:pos="8640"/>
      </w:tabs>
    </w:pPr>
    <w:rPr>
      <w:sz w:val="20"/>
    </w:rPr>
  </w:style>
  <w:style w:type="paragraph" w:customStyle="1" w:styleId="311011">
    <w:name w:val="Верхний колонтитул311011"/>
    <w:basedOn w:val="a0"/>
    <w:rsid w:val="003D1856"/>
    <w:pPr>
      <w:widowControl w:val="0"/>
      <w:tabs>
        <w:tab w:val="center" w:pos="4320"/>
        <w:tab w:val="right" w:pos="8640"/>
      </w:tabs>
    </w:pPr>
    <w:rPr>
      <w:sz w:val="20"/>
    </w:rPr>
  </w:style>
  <w:style w:type="paragraph" w:customStyle="1" w:styleId="311092">
    <w:name w:val="Верхний колонтитул311092"/>
    <w:basedOn w:val="a0"/>
    <w:rsid w:val="003D1856"/>
    <w:pPr>
      <w:widowControl w:val="0"/>
      <w:tabs>
        <w:tab w:val="center" w:pos="4320"/>
        <w:tab w:val="right" w:pos="8640"/>
      </w:tabs>
    </w:pPr>
    <w:rPr>
      <w:sz w:val="20"/>
    </w:rPr>
  </w:style>
  <w:style w:type="paragraph" w:customStyle="1" w:styleId="3110172">
    <w:name w:val="Верхний колонтитул3110172"/>
    <w:basedOn w:val="a0"/>
    <w:rsid w:val="003D1856"/>
    <w:pPr>
      <w:widowControl w:val="0"/>
      <w:tabs>
        <w:tab w:val="center" w:pos="4320"/>
        <w:tab w:val="right" w:pos="8640"/>
      </w:tabs>
    </w:pPr>
    <w:rPr>
      <w:sz w:val="20"/>
    </w:rPr>
  </w:style>
  <w:style w:type="paragraph" w:customStyle="1" w:styleId="311012">
    <w:name w:val="Верхний колонтитул311012"/>
    <w:basedOn w:val="a0"/>
    <w:rsid w:val="003D1856"/>
    <w:pPr>
      <w:widowControl w:val="0"/>
      <w:tabs>
        <w:tab w:val="center" w:pos="4320"/>
        <w:tab w:val="right" w:pos="8640"/>
      </w:tabs>
    </w:pPr>
    <w:rPr>
      <w:sz w:val="20"/>
    </w:rPr>
  </w:style>
  <w:style w:type="paragraph" w:customStyle="1" w:styleId="311093">
    <w:name w:val="Верхний колонтитул311093"/>
    <w:basedOn w:val="a0"/>
    <w:rsid w:val="003D1856"/>
    <w:pPr>
      <w:widowControl w:val="0"/>
      <w:tabs>
        <w:tab w:val="center" w:pos="4320"/>
        <w:tab w:val="right" w:pos="8640"/>
      </w:tabs>
    </w:pPr>
    <w:rPr>
      <w:sz w:val="20"/>
    </w:rPr>
  </w:style>
  <w:style w:type="paragraph" w:customStyle="1" w:styleId="3110173">
    <w:name w:val="Верхний колонтитул3110173"/>
    <w:basedOn w:val="a0"/>
    <w:rsid w:val="003D1856"/>
    <w:pPr>
      <w:widowControl w:val="0"/>
      <w:tabs>
        <w:tab w:val="center" w:pos="4320"/>
        <w:tab w:val="right" w:pos="8640"/>
      </w:tabs>
    </w:pPr>
    <w:rPr>
      <w:sz w:val="20"/>
    </w:rPr>
  </w:style>
  <w:style w:type="paragraph" w:styleId="33">
    <w:name w:val="Body Text 3"/>
    <w:basedOn w:val="a0"/>
    <w:link w:val="34"/>
    <w:rsid w:val="003D1856"/>
    <w:pPr>
      <w:spacing w:before="120" w:line="240" w:lineRule="exact"/>
    </w:pPr>
    <w:rPr>
      <w:sz w:val="20"/>
    </w:rPr>
  </w:style>
  <w:style w:type="character" w:customStyle="1" w:styleId="34">
    <w:name w:val="Основной текст 3 Знак"/>
    <w:basedOn w:val="a1"/>
    <w:link w:val="33"/>
    <w:rsid w:val="003D1856"/>
  </w:style>
  <w:style w:type="paragraph" w:styleId="af3">
    <w:name w:val="footnote text"/>
    <w:basedOn w:val="a0"/>
    <w:link w:val="af4"/>
    <w:rsid w:val="003D1856"/>
    <w:pPr>
      <w:jc w:val="left"/>
    </w:pPr>
    <w:rPr>
      <w:sz w:val="20"/>
    </w:rPr>
  </w:style>
  <w:style w:type="character" w:customStyle="1" w:styleId="af4">
    <w:name w:val="Текст сноски Знак"/>
    <w:basedOn w:val="a1"/>
    <w:link w:val="af3"/>
    <w:rsid w:val="003D1856"/>
  </w:style>
  <w:style w:type="paragraph" w:customStyle="1" w:styleId="311013">
    <w:name w:val="Верхний колонтитул311013"/>
    <w:basedOn w:val="a0"/>
    <w:rsid w:val="003D1856"/>
    <w:pPr>
      <w:widowControl w:val="0"/>
      <w:tabs>
        <w:tab w:val="center" w:pos="4320"/>
        <w:tab w:val="right" w:pos="8640"/>
      </w:tabs>
    </w:pPr>
    <w:rPr>
      <w:sz w:val="20"/>
    </w:rPr>
  </w:style>
  <w:style w:type="paragraph" w:customStyle="1" w:styleId="311094">
    <w:name w:val="Верхний колонтитул311094"/>
    <w:basedOn w:val="a0"/>
    <w:rsid w:val="003D1856"/>
    <w:pPr>
      <w:widowControl w:val="0"/>
      <w:tabs>
        <w:tab w:val="center" w:pos="4320"/>
        <w:tab w:val="right" w:pos="8640"/>
      </w:tabs>
    </w:pPr>
    <w:rPr>
      <w:sz w:val="20"/>
    </w:rPr>
  </w:style>
  <w:style w:type="paragraph" w:customStyle="1" w:styleId="3110174">
    <w:name w:val="Верхний колонтитул3110174"/>
    <w:basedOn w:val="a0"/>
    <w:rsid w:val="003D1856"/>
    <w:pPr>
      <w:widowControl w:val="0"/>
      <w:tabs>
        <w:tab w:val="center" w:pos="4320"/>
        <w:tab w:val="right" w:pos="8640"/>
      </w:tabs>
    </w:pPr>
    <w:rPr>
      <w:sz w:val="20"/>
    </w:rPr>
  </w:style>
  <w:style w:type="character" w:customStyle="1" w:styleId="dynamic-style-11">
    <w:name w:val="dynamic-style-11"/>
    <w:rsid w:val="003D1856"/>
    <w:rPr>
      <w:rFonts w:ascii="Arial" w:hAnsi="Arial" w:cs="Arial" w:hint="default"/>
      <w:color w:val="000000"/>
      <w:sz w:val="14"/>
      <w:szCs w:val="14"/>
    </w:rPr>
  </w:style>
  <w:style w:type="paragraph" w:customStyle="1" w:styleId="311">
    <w:name w:val="Верхний колонтитул311"/>
    <w:basedOn w:val="a0"/>
    <w:rsid w:val="003D1856"/>
    <w:pPr>
      <w:widowControl w:val="0"/>
      <w:tabs>
        <w:tab w:val="center" w:pos="4320"/>
        <w:tab w:val="right" w:pos="8640"/>
      </w:tabs>
    </w:pPr>
    <w:rPr>
      <w:sz w:val="20"/>
    </w:rPr>
  </w:style>
  <w:style w:type="character" w:customStyle="1" w:styleId="ac">
    <w:name w:val="Текст выноски Знак"/>
    <w:link w:val="ab"/>
    <w:semiHidden/>
    <w:rsid w:val="003D1856"/>
    <w:rPr>
      <w:rFonts w:ascii="Tahoma" w:hAnsi="Tahoma" w:cs="Tahoma"/>
      <w:sz w:val="16"/>
      <w:szCs w:val="16"/>
    </w:rPr>
  </w:style>
  <w:style w:type="character" w:customStyle="1" w:styleId="11">
    <w:name w:val="Знак Знак1"/>
    <w:rsid w:val="003D1856"/>
    <w:rPr>
      <w:rFonts w:ascii="Tahoma" w:hAnsi="Tahoma" w:cs="Tahoma"/>
      <w:sz w:val="16"/>
      <w:szCs w:val="16"/>
    </w:rPr>
  </w:style>
  <w:style w:type="paragraph" w:customStyle="1" w:styleId="ConsPlusNormal1">
    <w:name w:val="ConsPlusNormal1"/>
    <w:rsid w:val="003D1856"/>
    <w:pPr>
      <w:autoSpaceDE w:val="0"/>
      <w:autoSpaceDN w:val="0"/>
      <w:adjustRightInd w:val="0"/>
    </w:pPr>
    <w:rPr>
      <w:rFonts w:ascii="Arial" w:hAnsi="Arial" w:cs="Arial"/>
    </w:rPr>
  </w:style>
  <w:style w:type="character" w:customStyle="1" w:styleId="23">
    <w:name w:val="Знак Знак2"/>
    <w:rsid w:val="003D1856"/>
    <w:rPr>
      <w:rFonts w:ascii="Tahoma" w:hAnsi="Tahoma" w:cs="Tahoma"/>
      <w:sz w:val="16"/>
      <w:szCs w:val="16"/>
    </w:rPr>
  </w:style>
  <w:style w:type="character" w:customStyle="1" w:styleId="35">
    <w:name w:val="Знак Знак3"/>
    <w:rsid w:val="003D1856"/>
    <w:rPr>
      <w:rFonts w:ascii="Tahoma" w:hAnsi="Tahoma" w:cs="Tahoma"/>
      <w:sz w:val="16"/>
      <w:szCs w:val="16"/>
    </w:rPr>
  </w:style>
  <w:style w:type="paragraph" w:styleId="af5">
    <w:name w:val="Block Text"/>
    <w:basedOn w:val="a0"/>
    <w:rsid w:val="003D1856"/>
    <w:pPr>
      <w:pBdr>
        <w:top w:val="thinThickThinSmallGap" w:sz="24" w:space="1" w:color="auto"/>
        <w:bottom w:val="thinThickThinSmallGap" w:sz="24" w:space="1" w:color="auto"/>
      </w:pBdr>
      <w:ind w:left="-57" w:right="-57"/>
      <w:jc w:val="center"/>
    </w:pPr>
    <w:rPr>
      <w:b/>
      <w:sz w:val="36"/>
    </w:rPr>
  </w:style>
  <w:style w:type="paragraph" w:customStyle="1" w:styleId="12">
    <w:name w:val="Обычный1"/>
    <w:rsid w:val="003D1856"/>
    <w:pPr>
      <w:widowControl w:val="0"/>
      <w:spacing w:line="280" w:lineRule="auto"/>
      <w:jc w:val="center"/>
    </w:pPr>
    <w:rPr>
      <w:b/>
    </w:rPr>
  </w:style>
  <w:style w:type="paragraph" w:customStyle="1" w:styleId="3111">
    <w:name w:val="Верхний колонтитул3111"/>
    <w:basedOn w:val="a0"/>
    <w:rsid w:val="003D1856"/>
    <w:pPr>
      <w:widowControl w:val="0"/>
      <w:tabs>
        <w:tab w:val="center" w:pos="4320"/>
        <w:tab w:val="right" w:pos="8640"/>
      </w:tabs>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291575">
      <w:bodyDiv w:val="1"/>
      <w:marLeft w:val="0"/>
      <w:marRight w:val="0"/>
      <w:marTop w:val="0"/>
      <w:marBottom w:val="0"/>
      <w:divBdr>
        <w:top w:val="none" w:sz="0" w:space="0" w:color="auto"/>
        <w:left w:val="none" w:sz="0" w:space="0" w:color="auto"/>
        <w:bottom w:val="none" w:sz="0" w:space="0" w:color="auto"/>
        <w:right w:val="none" w:sz="0" w:space="0" w:color="auto"/>
      </w:divBdr>
    </w:div>
    <w:div w:id="1425999941">
      <w:bodyDiv w:val="1"/>
      <w:marLeft w:val="0"/>
      <w:marRight w:val="0"/>
      <w:marTop w:val="0"/>
      <w:marBottom w:val="0"/>
      <w:divBdr>
        <w:top w:val="none" w:sz="0" w:space="0" w:color="auto"/>
        <w:left w:val="none" w:sz="0" w:space="0" w:color="auto"/>
        <w:bottom w:val="none" w:sz="0" w:space="0" w:color="auto"/>
        <w:right w:val="none" w:sz="0" w:space="0" w:color="auto"/>
      </w:divBdr>
    </w:div>
    <w:div w:id="176333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F3D4D-0EE5-4EFB-B430-360FED7F0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9454</Words>
  <Characters>53892</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Приватизация предприятий и организаций</vt:lpstr>
    </vt:vector>
  </TitlesOfParts>
  <Company>GKS</Company>
  <LinksUpToDate>false</LinksUpToDate>
  <CharactersWithSpaces>63220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Приватизация предприятий и организаций</dc:title>
  <dc:creator>Admin</dc:creator>
  <cp:lastModifiedBy>Лукашова Наталья Михайловна</cp:lastModifiedBy>
  <cp:revision>3</cp:revision>
  <cp:lastPrinted>2018-05-23T07:33:00Z</cp:lastPrinted>
  <dcterms:created xsi:type="dcterms:W3CDTF">2024-03-05T08:11:00Z</dcterms:created>
  <dcterms:modified xsi:type="dcterms:W3CDTF">2024-10-02T09:00:00Z</dcterms:modified>
</cp:coreProperties>
</file>